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430DF" w14:textId="32F59F4C" w:rsidR="002657B3" w:rsidRPr="00626503" w:rsidRDefault="006705FB" w:rsidP="009A4A02">
      <w:pPr>
        <w:jc w:val="center"/>
        <w:rPr>
          <w:b/>
        </w:rPr>
      </w:pPr>
      <w:r w:rsidRPr="00626503">
        <w:rPr>
          <w:b/>
        </w:rPr>
        <w:t>Review of In-Person Research with Human Subjects When TU Occupancy is Limited</w:t>
      </w:r>
    </w:p>
    <w:p w14:paraId="13ECEF98" w14:textId="4D4EA0BB" w:rsidR="00E10881" w:rsidRDefault="00E10881" w:rsidP="00626503">
      <w:r>
        <w:t>The following guidelines should assist with the preparation and review of applications for research involving human subjects during periods when COVID-19 restrictions are in place. It is important to recognize that each study is unique</w:t>
      </w:r>
      <w:r w:rsidR="00F73A09">
        <w:t>. T</w:t>
      </w:r>
      <w:r>
        <w:t>herefore, there may be instances where flexibility is required when applying this guidance. Further, PIs will need to adapt to changing restrictions that may be in place,</w:t>
      </w:r>
      <w:r w:rsidR="00C862FE">
        <w:t xml:space="preserve"> such as</w:t>
      </w:r>
      <w:r>
        <w:t xml:space="preserve"> shutting down work if stay-at-home orders are introduced </w:t>
      </w:r>
      <w:r w:rsidR="00C862FE">
        <w:t xml:space="preserve">or </w:t>
      </w:r>
      <w:r>
        <w:t>adopting less stringent social distancing requirements if restrictions are loosened.</w:t>
      </w:r>
    </w:p>
    <w:p w14:paraId="1823C4BD" w14:textId="266B05DC" w:rsidR="002657B3" w:rsidRPr="00626503" w:rsidRDefault="00A61789">
      <w:pPr>
        <w:rPr>
          <w:u w:val="single"/>
        </w:rPr>
      </w:pPr>
      <w:r w:rsidRPr="00626503">
        <w:rPr>
          <w:u w:val="single"/>
        </w:rPr>
        <w:t>Requirements</w:t>
      </w:r>
    </w:p>
    <w:p w14:paraId="2F3F4574" w14:textId="241A1011" w:rsidR="002657B3" w:rsidRDefault="002657B3" w:rsidP="00A22231">
      <w:pPr>
        <w:pStyle w:val="ListParagraph"/>
        <w:numPr>
          <w:ilvl w:val="0"/>
          <w:numId w:val="9"/>
        </w:numPr>
        <w:ind w:left="0"/>
      </w:pPr>
      <w:r>
        <w:t>To minimize risk to human subjects, all research should be conducted remotely whenever possible.</w:t>
      </w:r>
      <w:r w:rsidR="009A4A02">
        <w:t xml:space="preserve"> </w:t>
      </w:r>
    </w:p>
    <w:p w14:paraId="370A7ED8" w14:textId="6FF9375C" w:rsidR="002657B3" w:rsidRDefault="002657B3" w:rsidP="00A22231">
      <w:pPr>
        <w:pStyle w:val="ListParagraph"/>
        <w:numPr>
          <w:ilvl w:val="0"/>
          <w:numId w:val="9"/>
        </w:numPr>
        <w:ind w:left="0"/>
      </w:pPr>
      <w:r>
        <w:t>Approval Process for Human Subjects Research that Requires In-Person Interaction</w:t>
      </w:r>
    </w:p>
    <w:p w14:paraId="28B104E7" w14:textId="3B609CF1" w:rsidR="002657B3" w:rsidRDefault="0037432D" w:rsidP="00A22231">
      <w:pPr>
        <w:pStyle w:val="ListParagraph"/>
        <w:numPr>
          <w:ilvl w:val="1"/>
          <w:numId w:val="9"/>
        </w:numPr>
      </w:pPr>
      <w:r>
        <w:t xml:space="preserve">Protocol </w:t>
      </w:r>
      <w:r w:rsidR="00206D9A">
        <w:t>Preparation</w:t>
      </w:r>
      <w:r>
        <w:t>/Amendment</w:t>
      </w:r>
    </w:p>
    <w:p w14:paraId="2A15E2FE" w14:textId="27069CFB" w:rsidR="002657B3" w:rsidRDefault="002657B3" w:rsidP="00A22231">
      <w:pPr>
        <w:pStyle w:val="ListParagraph"/>
        <w:numPr>
          <w:ilvl w:val="2"/>
          <w:numId w:val="9"/>
        </w:numPr>
      </w:pPr>
      <w:r>
        <w:t xml:space="preserve">PIs must obtain approval </w:t>
      </w:r>
      <w:r w:rsidR="00C862FE" w:rsidRPr="002F204B">
        <w:rPr>
          <w:rFonts w:eastAsiaTheme="minorEastAsia" w:cstheme="minorHAnsi"/>
        </w:rPr>
        <w:t>to Conduct in-Person Human Subjects Research</w:t>
      </w:r>
      <w:r w:rsidR="00C862FE">
        <w:t xml:space="preserve"> </w:t>
      </w:r>
      <w:r>
        <w:t xml:space="preserve">from their </w:t>
      </w:r>
      <w:r w:rsidR="00C862FE">
        <w:t xml:space="preserve">Department </w:t>
      </w:r>
      <w:r>
        <w:t>Chair</w:t>
      </w:r>
      <w:r w:rsidR="004B258C">
        <w:t>,</w:t>
      </w:r>
      <w:r>
        <w:t xml:space="preserve"> </w:t>
      </w:r>
      <w:r w:rsidR="00C862FE">
        <w:t xml:space="preserve">College </w:t>
      </w:r>
      <w:r>
        <w:t>Dean</w:t>
      </w:r>
      <w:r w:rsidR="004B258C">
        <w:t>, and the Provost</w:t>
      </w:r>
      <w:r>
        <w:t xml:space="preserve"> using the</w:t>
      </w:r>
      <w:r w:rsidR="00987E8C" w:rsidRPr="00987E8C">
        <w:rPr>
          <w:rFonts w:eastAsiaTheme="minorEastAsia" w:cstheme="minorHAnsi"/>
        </w:rPr>
        <w:t xml:space="preserve"> </w:t>
      </w:r>
      <w:r w:rsidR="00987E8C" w:rsidRPr="002F204B">
        <w:rPr>
          <w:rFonts w:eastAsiaTheme="minorEastAsia" w:cstheme="minorHAnsi"/>
        </w:rPr>
        <w:t>Return to Research Planning Form (RTRF)</w:t>
      </w:r>
      <w:r w:rsidR="0019089F">
        <w:t>.</w:t>
      </w:r>
      <w:r w:rsidR="000231A8">
        <w:t xml:space="preserve"> If the research is being conducted off-campus, the PI must adhere to all TU requirements for approval of this work. PIs who are not affiliated with TU must obtain </w:t>
      </w:r>
      <w:r w:rsidR="004B258C">
        <w:t xml:space="preserve">approval to visit the campus. </w:t>
      </w:r>
      <w:r w:rsidR="000231A8">
        <w:t>T</w:t>
      </w:r>
      <w:r w:rsidR="004B258C">
        <w:t>he O</w:t>
      </w:r>
      <w:r w:rsidR="000231A8">
        <w:t>ffice of Sponsored Programs &amp; Research will advise an unaffiliated</w:t>
      </w:r>
      <w:r w:rsidR="004B258C">
        <w:t xml:space="preserve"> PI on th</w:t>
      </w:r>
      <w:r w:rsidR="000231A8">
        <w:t>is process</w:t>
      </w:r>
      <w:r w:rsidR="004B258C">
        <w:t>.</w:t>
      </w:r>
    </w:p>
    <w:p w14:paraId="24B1F248" w14:textId="6F179200" w:rsidR="00206D9A" w:rsidRDefault="00C2583B" w:rsidP="00A22231">
      <w:pPr>
        <w:pStyle w:val="ListParagraph"/>
        <w:numPr>
          <w:ilvl w:val="2"/>
          <w:numId w:val="9"/>
        </w:numPr>
      </w:pPr>
      <w:r>
        <w:t>PIs must</w:t>
      </w:r>
      <w:r w:rsidR="00206D9A">
        <w:t xml:space="preserve"> submit a</w:t>
      </w:r>
      <w:r w:rsidR="006705FB">
        <w:t xml:space="preserve"> new application or amend an existing application </w:t>
      </w:r>
      <w:r w:rsidR="00206D9A">
        <w:t xml:space="preserve">prior to conducting in-person research. </w:t>
      </w:r>
      <w:r w:rsidR="00D356C9">
        <w:t xml:space="preserve">A review may be initiated, but final approval of the study will not be provided until the IRB receives the approved </w:t>
      </w:r>
      <w:r w:rsidR="00987E8C">
        <w:t>RTR</w:t>
      </w:r>
      <w:r w:rsidR="00337D51">
        <w:t>F</w:t>
      </w:r>
      <w:r w:rsidR="00D356C9">
        <w:t>.</w:t>
      </w:r>
    </w:p>
    <w:p w14:paraId="42FB5AFC" w14:textId="4733A0ED" w:rsidR="001F58B1" w:rsidRDefault="00206D9A" w:rsidP="00A22231">
      <w:pPr>
        <w:pStyle w:val="ListParagraph"/>
        <w:numPr>
          <w:ilvl w:val="2"/>
          <w:numId w:val="9"/>
        </w:numPr>
      </w:pPr>
      <w:r>
        <w:t xml:space="preserve">PIs must outline a consent process to be used until </w:t>
      </w:r>
      <w:r w:rsidR="002D0B95">
        <w:t>COVID restrictions are lifted</w:t>
      </w:r>
      <w:r w:rsidR="0037432D">
        <w:t>.</w:t>
      </w:r>
      <w:r w:rsidR="0037432D" w:rsidRPr="0037432D">
        <w:t xml:space="preserve"> </w:t>
      </w:r>
      <w:r w:rsidR="00B34108">
        <w:t xml:space="preserve">In order to minimize contact with individuals who may </w:t>
      </w:r>
      <w:r w:rsidR="00AD2C11">
        <w:t xml:space="preserve">be COVID positive or </w:t>
      </w:r>
      <w:r w:rsidR="00B34108">
        <w:t xml:space="preserve">ultimately decide not to participate in a study, </w:t>
      </w:r>
      <w:r w:rsidR="0037432D">
        <w:t xml:space="preserve">PIs </w:t>
      </w:r>
      <w:r w:rsidR="00D43712">
        <w:t>must</w:t>
      </w:r>
      <w:r w:rsidR="0037432D">
        <w:t xml:space="preserve"> obtain consent remotely prior to gathering data from any human </w:t>
      </w:r>
      <w:proofErr w:type="gramStart"/>
      <w:r w:rsidR="0037432D">
        <w:t>subjects</w:t>
      </w:r>
      <w:proofErr w:type="gramEnd"/>
      <w:r w:rsidR="0037432D">
        <w:t xml:space="preserve"> </w:t>
      </w:r>
      <w:r w:rsidR="00C862FE">
        <w:t xml:space="preserve">research </w:t>
      </w:r>
      <w:r w:rsidR="0037432D">
        <w:t>participant until TU returns to 100% occupancy.</w:t>
      </w:r>
      <w:r w:rsidR="00EE5847">
        <w:t xml:space="preserve"> Consent will need to be repeated when participants arrive at the study site. </w:t>
      </w:r>
    </w:p>
    <w:p w14:paraId="2FCFBEAB" w14:textId="112A4FFB" w:rsidR="00206D9A" w:rsidRDefault="0037432D" w:rsidP="00A22231">
      <w:pPr>
        <w:pStyle w:val="ListParagraph"/>
        <w:numPr>
          <w:ilvl w:val="2"/>
          <w:numId w:val="9"/>
        </w:numPr>
      </w:pPr>
      <w:r>
        <w:t xml:space="preserve">If PIs </w:t>
      </w:r>
      <w:r w:rsidR="002F410A">
        <w:t>can</w:t>
      </w:r>
      <w:r>
        <w:t>not transition consent to a remote process, a justification for this must be included in the protocol/amendment.</w:t>
      </w:r>
    </w:p>
    <w:p w14:paraId="0AA86755" w14:textId="512E8636" w:rsidR="009A4A02" w:rsidRDefault="009A4A02" w:rsidP="009A4A02">
      <w:pPr>
        <w:pStyle w:val="ListParagraph"/>
        <w:numPr>
          <w:ilvl w:val="2"/>
          <w:numId w:val="9"/>
        </w:numPr>
      </w:pPr>
      <w:r>
        <w:t xml:space="preserve">The consent process will include a </w:t>
      </w:r>
      <w:r w:rsidR="00B34108">
        <w:t xml:space="preserve">University-developed </w:t>
      </w:r>
      <w:r w:rsidR="00EE5847">
        <w:t>document that outlines risks s</w:t>
      </w:r>
      <w:r>
        <w:t xml:space="preserve">pecific to </w:t>
      </w:r>
      <w:r w:rsidR="00EE5847">
        <w:t xml:space="preserve">participating in research when </w:t>
      </w:r>
      <w:r>
        <w:t>COVID-19 r</w:t>
      </w:r>
      <w:r w:rsidR="00EE5847">
        <w:t xml:space="preserve">estrictions are in place. This document must be used </w:t>
      </w:r>
      <w:r>
        <w:t xml:space="preserve">while TU remains at less than full occupancy.  </w:t>
      </w:r>
    </w:p>
    <w:p w14:paraId="1AEA8F31" w14:textId="3D7F74D3" w:rsidR="009A4A02" w:rsidRDefault="00206D9A" w:rsidP="00A22231">
      <w:pPr>
        <w:pStyle w:val="ListParagraph"/>
        <w:numPr>
          <w:ilvl w:val="2"/>
          <w:numId w:val="9"/>
        </w:numPr>
      </w:pPr>
      <w:r>
        <w:t>P</w:t>
      </w:r>
      <w:r w:rsidR="00927862">
        <w:t>rojects should adhere to</w:t>
      </w:r>
      <w:r w:rsidR="009A4A02">
        <w:t xml:space="preserve"> TU social distancing</w:t>
      </w:r>
      <w:r>
        <w:t xml:space="preserve"> standards for the</w:t>
      </w:r>
      <w:r w:rsidR="009A4A02">
        <w:t xml:space="preserve"> location where the research will be conducted</w:t>
      </w:r>
      <w:r>
        <w:t>.</w:t>
      </w:r>
      <w:r w:rsidR="00506C95">
        <w:t xml:space="preserve"> PIs must refer to procedures outlined in the</w:t>
      </w:r>
      <w:r w:rsidR="00987E8C">
        <w:t xml:space="preserve"> RTRF</w:t>
      </w:r>
      <w:r w:rsidR="00927862">
        <w:t>.</w:t>
      </w:r>
    </w:p>
    <w:p w14:paraId="55E91B8D" w14:textId="35CED766" w:rsidR="006A1E84" w:rsidRDefault="00206D9A" w:rsidP="00A22231">
      <w:pPr>
        <w:pStyle w:val="ListParagraph"/>
        <w:numPr>
          <w:ilvl w:val="2"/>
          <w:numId w:val="9"/>
        </w:numPr>
      </w:pPr>
      <w:r>
        <w:t xml:space="preserve">If the research project does not adhere to TU social </w:t>
      </w:r>
      <w:r w:rsidR="00337D51">
        <w:t xml:space="preserve">distancing </w:t>
      </w:r>
      <w:r>
        <w:t xml:space="preserve">standards, the </w:t>
      </w:r>
      <w:r w:rsidR="006A1E84">
        <w:t xml:space="preserve">PI must outline the procedures and the protections that will be utilized during the time period when social distancing restrictions are in place. </w:t>
      </w:r>
      <w:r w:rsidR="0037432D">
        <w:t>In such cases, the researcher must clearly explain the risk</w:t>
      </w:r>
      <w:r w:rsidR="00337D51">
        <w:t>/</w:t>
      </w:r>
      <w:r w:rsidR="0037432D">
        <w:t xml:space="preserve">benefit ratio of the research to be </w:t>
      </w:r>
      <w:r w:rsidR="0037432D">
        <w:lastRenderedPageBreak/>
        <w:t>conducted</w:t>
      </w:r>
      <w:r w:rsidR="00C12828">
        <w:t xml:space="preserve"> and in particular ma</w:t>
      </w:r>
      <w:r w:rsidR="002D0B95">
        <w:t>ke the case that the risk of in-</w:t>
      </w:r>
      <w:r w:rsidR="00C12828">
        <w:t xml:space="preserve">person contact </w:t>
      </w:r>
      <w:r w:rsidR="002D0B95">
        <w:t xml:space="preserve">is </w:t>
      </w:r>
      <w:r w:rsidR="00C12828">
        <w:t>justified by the potential benefits of the research.</w:t>
      </w:r>
    </w:p>
    <w:p w14:paraId="36BCB329" w14:textId="5C3E0DAF" w:rsidR="00E23933" w:rsidRDefault="00E23933" w:rsidP="00A22231">
      <w:pPr>
        <w:pStyle w:val="ListParagraph"/>
        <w:numPr>
          <w:ilvl w:val="2"/>
          <w:numId w:val="9"/>
        </w:numPr>
      </w:pPr>
      <w:r>
        <w:t xml:space="preserve">Participants </w:t>
      </w:r>
      <w:r w:rsidR="001E1F6A">
        <w:t>must</w:t>
      </w:r>
      <w:r>
        <w:t xml:space="preserve"> be provided appointment times for the conduct of the research. PIs </w:t>
      </w:r>
      <w:r w:rsidR="001E1F6A">
        <w:t xml:space="preserve">must require </w:t>
      </w:r>
      <w:r>
        <w:t>participants to complete</w:t>
      </w:r>
      <w:r w:rsidR="001E1F6A">
        <w:t xml:space="preserve"> and return</w:t>
      </w:r>
      <w:r>
        <w:t xml:space="preserve"> the Screening Questionnaire</w:t>
      </w:r>
      <w:r w:rsidR="001E1F6A">
        <w:t xml:space="preserve"> to the PI on</w:t>
      </w:r>
      <w:r>
        <w:t xml:space="preserve"> the day prior to their scheduled appointment on campus.</w:t>
      </w:r>
      <w:r w:rsidR="00206D9A">
        <w:t xml:space="preserve"> </w:t>
      </w:r>
      <w:r w:rsidR="001E1F6A">
        <w:t xml:space="preserve">PIs must review the form to ensure it is appropriate for the participant to </w:t>
      </w:r>
      <w:r w:rsidR="00CE7A4C">
        <w:t>come to campus</w:t>
      </w:r>
      <w:r w:rsidR="001E1F6A">
        <w:t xml:space="preserve">. </w:t>
      </w:r>
      <w:r w:rsidR="00206D9A">
        <w:t xml:space="preserve">The form </w:t>
      </w:r>
      <w:r w:rsidR="001E1F6A">
        <w:t>must</w:t>
      </w:r>
      <w:r w:rsidR="00206D9A">
        <w:t xml:space="preserve"> be repeated in person as the first activity of their on-campus visit.</w:t>
      </w:r>
      <w:r w:rsidR="003E1B33">
        <w:t xml:space="preserve"> This form </w:t>
      </w:r>
      <w:r w:rsidR="00866CCA">
        <w:t xml:space="preserve">must </w:t>
      </w:r>
      <w:r w:rsidR="003E1B33">
        <w:t>be included with your amendment or new application materials</w:t>
      </w:r>
      <w:r w:rsidR="00866CCA">
        <w:t xml:space="preserve"> and be approved by the IRB before screening can commence</w:t>
      </w:r>
      <w:r w:rsidR="003E1B33">
        <w:t>.</w:t>
      </w:r>
    </w:p>
    <w:p w14:paraId="5CB13CD9" w14:textId="0DE844C7" w:rsidR="008B4CDF" w:rsidRDefault="008B4CDF" w:rsidP="00A22231">
      <w:pPr>
        <w:pStyle w:val="ListParagraph"/>
        <w:numPr>
          <w:ilvl w:val="2"/>
          <w:numId w:val="9"/>
        </w:numPr>
      </w:pPr>
      <w:r>
        <w:t>Research that will not occur on the TU campus must adhere to the following additional requirements:</w:t>
      </w:r>
    </w:p>
    <w:p w14:paraId="77E8D782" w14:textId="00841D08" w:rsidR="008B4CDF" w:rsidRDefault="008B4CDF" w:rsidP="00626503">
      <w:pPr>
        <w:pStyle w:val="ListParagraph"/>
        <w:numPr>
          <w:ilvl w:val="3"/>
          <w:numId w:val="9"/>
        </w:numPr>
      </w:pPr>
      <w:r>
        <w:t xml:space="preserve">In the event that PIs plan to conduct the research off campus (e.g. schools, community partner locations, etc.), they must obtain site approval from the organization/facility where the research will be conducted. Documentation that site approval has been obtained must be provided with the application/amendment. </w:t>
      </w:r>
    </w:p>
    <w:p w14:paraId="28FD0631" w14:textId="5098509F" w:rsidR="008B4CDF" w:rsidRDefault="008B4CDF" w:rsidP="00626503">
      <w:pPr>
        <w:pStyle w:val="ListParagraph"/>
        <w:numPr>
          <w:ilvl w:val="3"/>
          <w:numId w:val="9"/>
        </w:numPr>
      </w:pPr>
      <w:r>
        <w:t>PIs must adhere to the minimum standards that these organizations re</w:t>
      </w:r>
      <w:r w:rsidR="00E10881">
        <w:t xml:space="preserve">quire for conducting research when COVID-19 restrictions are in place. The site requirements (maximum room occupancy, face mask requirements, etc.) should be </w:t>
      </w:r>
      <w:r>
        <w:t>attached to the application.</w:t>
      </w:r>
      <w:r w:rsidR="00E10881">
        <w:t xml:space="preserve"> </w:t>
      </w:r>
    </w:p>
    <w:p w14:paraId="7981B273" w14:textId="3C44B5FE" w:rsidR="001E1F6A" w:rsidRDefault="008B4CDF" w:rsidP="00987E8C">
      <w:pPr>
        <w:pStyle w:val="ListParagraph"/>
        <w:numPr>
          <w:ilvl w:val="3"/>
          <w:numId w:val="9"/>
        </w:numPr>
        <w:spacing w:before="100" w:beforeAutospacing="1" w:after="100" w:afterAutospacing="1" w:line="240" w:lineRule="auto"/>
        <w:rPr>
          <w:rFonts w:ascii="Calibri" w:eastAsia="Times New Roman" w:hAnsi="Calibri" w:cs="Calibri"/>
          <w:color w:val="000000"/>
        </w:rPr>
      </w:pPr>
      <w:r>
        <w:t>If the organization’s requirements are less stringent than Towson University’s</w:t>
      </w:r>
      <w:r w:rsidR="00AC6EDD">
        <w:t>,</w:t>
      </w:r>
      <w:r>
        <w:t xml:space="preserve"> the PI </w:t>
      </w:r>
      <w:r w:rsidR="000A7D7B">
        <w:t>must</w:t>
      </w:r>
      <w:r w:rsidR="00987E8C">
        <w:t xml:space="preserve"> </w:t>
      </w:r>
      <w:r>
        <w:t>explain how the welfare of participants will be upheld in the off-campus environment.</w:t>
      </w:r>
      <w:r w:rsidR="000A7D7B" w:rsidRPr="00AC6EDD">
        <w:rPr>
          <w:rFonts w:ascii="Calibri" w:eastAsia="Times New Roman" w:hAnsi="Calibri" w:cs="Calibri"/>
          <w:color w:val="000000"/>
        </w:rPr>
        <w:t xml:space="preserve"> </w:t>
      </w:r>
    </w:p>
    <w:p w14:paraId="22A34DB4" w14:textId="6FD4CA76" w:rsidR="008B4CDF" w:rsidRDefault="002D0B95" w:rsidP="002D0B95">
      <w:pPr>
        <w:pStyle w:val="ListParagraph"/>
        <w:numPr>
          <w:ilvl w:val="3"/>
          <w:numId w:val="9"/>
        </w:numPr>
        <w:spacing w:before="100" w:beforeAutospacing="1" w:after="100" w:afterAutospacing="1" w:line="240" w:lineRule="auto"/>
      </w:pPr>
      <w:r>
        <w:rPr>
          <w:rFonts w:ascii="Calibri" w:eastAsia="Times New Roman" w:hAnsi="Calibri" w:cs="Calibri"/>
          <w:color w:val="000000"/>
        </w:rPr>
        <w:t xml:space="preserve">The consent process must include a statement of risk specific to off-campus work alerting </w:t>
      </w:r>
      <w:r w:rsidR="000A7D7B" w:rsidRPr="00AC6EDD">
        <w:rPr>
          <w:rFonts w:ascii="Calibri" w:eastAsia="Times New Roman" w:hAnsi="Calibri" w:cs="Calibri"/>
          <w:color w:val="000000"/>
        </w:rPr>
        <w:t xml:space="preserve">participants </w:t>
      </w:r>
      <w:r w:rsidR="00AC6EDD" w:rsidRPr="00AC6EDD">
        <w:rPr>
          <w:rFonts w:ascii="Calibri" w:eastAsia="Times New Roman" w:hAnsi="Calibri" w:cs="Calibri"/>
          <w:color w:val="000000"/>
        </w:rPr>
        <w:t xml:space="preserve">that TU does not have oversight of the location and </w:t>
      </w:r>
      <w:r w:rsidR="00B15B43">
        <w:rPr>
          <w:rFonts w:ascii="Calibri" w:eastAsia="Times New Roman" w:hAnsi="Calibri" w:cs="Calibri"/>
          <w:color w:val="000000"/>
        </w:rPr>
        <w:t xml:space="preserve">does not oversee the site’s </w:t>
      </w:r>
      <w:r w:rsidR="000A7D7B" w:rsidRPr="00AC6EDD">
        <w:rPr>
          <w:rFonts w:ascii="Calibri" w:eastAsia="Times New Roman" w:hAnsi="Calibri" w:cs="Calibri"/>
          <w:color w:val="000000"/>
        </w:rPr>
        <w:t>cleaning, access</w:t>
      </w:r>
      <w:r w:rsidR="00AC6EDD" w:rsidRPr="00AC6EDD">
        <w:rPr>
          <w:rFonts w:ascii="Calibri" w:eastAsia="Times New Roman" w:hAnsi="Calibri" w:cs="Calibri"/>
          <w:color w:val="000000"/>
        </w:rPr>
        <w:t xml:space="preserve"> and</w:t>
      </w:r>
      <w:r w:rsidR="000A7D7B" w:rsidRPr="00AC6EDD">
        <w:rPr>
          <w:rFonts w:ascii="Calibri" w:eastAsia="Times New Roman" w:hAnsi="Calibri" w:cs="Calibri"/>
          <w:color w:val="000000"/>
        </w:rPr>
        <w:t xml:space="preserve"> space use. </w:t>
      </w:r>
      <w:r w:rsidR="00B15B43">
        <w:rPr>
          <w:rFonts w:ascii="Calibri" w:eastAsia="Times New Roman" w:hAnsi="Calibri" w:cs="Calibri"/>
          <w:color w:val="000000"/>
        </w:rPr>
        <w:t>The consent from should</w:t>
      </w:r>
      <w:r w:rsidR="00AC6EDD" w:rsidRPr="00AC6EDD">
        <w:rPr>
          <w:rFonts w:ascii="Calibri" w:eastAsia="Times New Roman" w:hAnsi="Calibri" w:cs="Calibri"/>
          <w:color w:val="000000"/>
        </w:rPr>
        <w:t xml:space="preserve"> include a link</w:t>
      </w:r>
      <w:r w:rsidR="000A7D7B" w:rsidRPr="00AC6EDD">
        <w:rPr>
          <w:rFonts w:ascii="Calibri" w:eastAsia="Times New Roman" w:hAnsi="Calibri" w:cs="Calibri"/>
          <w:color w:val="000000"/>
        </w:rPr>
        <w:t xml:space="preserve"> or documentation on the site</w:t>
      </w:r>
      <w:r w:rsidR="00AC6EDD" w:rsidRPr="00AC6EDD">
        <w:rPr>
          <w:rFonts w:ascii="Calibri" w:eastAsia="Times New Roman" w:hAnsi="Calibri" w:cs="Calibri"/>
          <w:color w:val="000000"/>
        </w:rPr>
        <w:t>’</w:t>
      </w:r>
      <w:r w:rsidR="000A7D7B" w:rsidRPr="00AC6EDD">
        <w:rPr>
          <w:rFonts w:ascii="Calibri" w:eastAsia="Times New Roman" w:hAnsi="Calibri" w:cs="Calibri"/>
          <w:color w:val="000000"/>
        </w:rPr>
        <w:t>s pro</w:t>
      </w:r>
      <w:r w:rsidR="00AC6EDD" w:rsidRPr="00AC6EDD">
        <w:rPr>
          <w:rFonts w:ascii="Calibri" w:eastAsia="Times New Roman" w:hAnsi="Calibri" w:cs="Calibri"/>
          <w:color w:val="000000"/>
        </w:rPr>
        <w:t>cedures related to COVID-19</w:t>
      </w:r>
      <w:r w:rsidR="00AC6EDD">
        <w:rPr>
          <w:rFonts w:ascii="Calibri" w:eastAsia="Times New Roman" w:hAnsi="Calibri" w:cs="Calibri"/>
          <w:color w:val="000000"/>
        </w:rPr>
        <w:t>.</w:t>
      </w:r>
    </w:p>
    <w:p w14:paraId="60989901" w14:textId="35724580" w:rsidR="0037432D" w:rsidRDefault="0037432D" w:rsidP="00A22231">
      <w:pPr>
        <w:pStyle w:val="ListParagraph"/>
        <w:numPr>
          <w:ilvl w:val="1"/>
          <w:numId w:val="9"/>
        </w:numPr>
      </w:pPr>
      <w:r>
        <w:t>Protocol Review</w:t>
      </w:r>
    </w:p>
    <w:p w14:paraId="0246CCF1" w14:textId="47C3BD11" w:rsidR="0037432D" w:rsidRDefault="001F58B1" w:rsidP="00A22231">
      <w:pPr>
        <w:pStyle w:val="ListParagraph"/>
        <w:numPr>
          <w:ilvl w:val="2"/>
          <w:numId w:val="9"/>
        </w:numPr>
      </w:pPr>
      <w:r>
        <w:t xml:space="preserve">For ongoing projects, when </w:t>
      </w:r>
      <w:r w:rsidR="00E5111D">
        <w:t>(</w:t>
      </w:r>
      <w:r>
        <w:t>i</w:t>
      </w:r>
      <w:r w:rsidR="00B34108">
        <w:t>ii</w:t>
      </w:r>
      <w:r w:rsidR="00E5111D">
        <w:t>)</w:t>
      </w:r>
      <w:r>
        <w:t xml:space="preserve"> and </w:t>
      </w:r>
      <w:r w:rsidR="00E5111D">
        <w:t>(</w:t>
      </w:r>
      <w:r>
        <w:t>vi</w:t>
      </w:r>
      <w:r w:rsidR="00E5111D">
        <w:t>)</w:t>
      </w:r>
      <w:r>
        <w:t xml:space="preserve"> above apply, the project may qualify for </w:t>
      </w:r>
      <w:r w:rsidR="00AC6EDD">
        <w:t>accelerated</w:t>
      </w:r>
      <w:r w:rsidR="00FB4633">
        <w:t xml:space="preserve"> </w:t>
      </w:r>
      <w:r>
        <w:t>approval</w:t>
      </w:r>
      <w:r w:rsidR="0037432D">
        <w:t>.</w:t>
      </w:r>
    </w:p>
    <w:p w14:paraId="6319978D" w14:textId="35863E80" w:rsidR="003E1B33" w:rsidRDefault="003E1B33" w:rsidP="00A22231">
      <w:pPr>
        <w:pStyle w:val="ListParagraph"/>
        <w:numPr>
          <w:ilvl w:val="2"/>
          <w:numId w:val="9"/>
        </w:numPr>
      </w:pPr>
      <w:r>
        <w:t>For all other projects, the IRB will review the project throu</w:t>
      </w:r>
      <w:r w:rsidR="00B60AE6">
        <w:t>gh its standard procedures. The</w:t>
      </w:r>
      <w:r>
        <w:t xml:space="preserve"> IRB may assign two reviewers to </w:t>
      </w:r>
      <w:r w:rsidR="00B60AE6">
        <w:t>these projects.</w:t>
      </w:r>
    </w:p>
    <w:p w14:paraId="6D1F34E8" w14:textId="44768341" w:rsidR="0037432D" w:rsidRDefault="00987E8C" w:rsidP="00FB4633">
      <w:pPr>
        <w:pStyle w:val="ListParagraph"/>
        <w:numPr>
          <w:ilvl w:val="2"/>
          <w:numId w:val="9"/>
        </w:numPr>
      </w:pPr>
      <w:r>
        <w:t>The IRB may choose to defer approval of projects that offer high risk to participants in the pandemic environment if the project offers no benefits to participants until the risk to the participants is mitigated.</w:t>
      </w:r>
      <w:r w:rsidDel="00987E8C">
        <w:t xml:space="preserve"> </w:t>
      </w:r>
      <w:bookmarkStart w:id="0" w:name="_GoBack"/>
      <w:bookmarkEnd w:id="0"/>
    </w:p>
    <w:sectPr w:rsidR="003743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8E263" w14:textId="77777777" w:rsidR="004D191E" w:rsidRDefault="004D191E" w:rsidP="009551AB">
      <w:pPr>
        <w:spacing w:after="0" w:line="240" w:lineRule="auto"/>
      </w:pPr>
      <w:r>
        <w:separator/>
      </w:r>
    </w:p>
  </w:endnote>
  <w:endnote w:type="continuationSeparator" w:id="0">
    <w:p w14:paraId="1F62CF52" w14:textId="77777777" w:rsidR="004D191E" w:rsidRDefault="004D191E" w:rsidP="0095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64224" w14:textId="77777777" w:rsidR="004D191E" w:rsidRDefault="004D191E" w:rsidP="009551AB">
      <w:pPr>
        <w:spacing w:after="0" w:line="240" w:lineRule="auto"/>
      </w:pPr>
      <w:r>
        <w:separator/>
      </w:r>
    </w:p>
  </w:footnote>
  <w:footnote w:type="continuationSeparator" w:id="0">
    <w:p w14:paraId="36B1D40E" w14:textId="77777777" w:rsidR="004D191E" w:rsidRDefault="004D191E" w:rsidP="00955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4DC54" w14:textId="4E6C19A5" w:rsidR="0068170E" w:rsidRDefault="00681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462"/>
    <w:multiLevelType w:val="hybridMultilevel"/>
    <w:tmpl w:val="8D7A0D5A"/>
    <w:lvl w:ilvl="0" w:tplc="CA64E4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32531A"/>
    <w:multiLevelType w:val="multilevel"/>
    <w:tmpl w:val="89A4C67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0F7A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49587D"/>
    <w:multiLevelType w:val="multilevel"/>
    <w:tmpl w:val="171C07D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0E3F11"/>
    <w:multiLevelType w:val="hybridMultilevel"/>
    <w:tmpl w:val="520022EE"/>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261E76D8"/>
    <w:multiLevelType w:val="hybridMultilevel"/>
    <w:tmpl w:val="E260F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377FC"/>
    <w:multiLevelType w:val="multilevel"/>
    <w:tmpl w:val="A7B2DA4C"/>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69A5882"/>
    <w:multiLevelType w:val="multilevel"/>
    <w:tmpl w:val="83B8D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7845D56"/>
    <w:multiLevelType w:val="hybridMultilevel"/>
    <w:tmpl w:val="DC2ABDAA"/>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D516D83"/>
    <w:multiLevelType w:val="hybridMultilevel"/>
    <w:tmpl w:val="BF5E0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7503A9"/>
    <w:multiLevelType w:val="hybridMultilevel"/>
    <w:tmpl w:val="DD7A2E96"/>
    <w:lvl w:ilvl="0" w:tplc="4ABEC1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6C55E3"/>
    <w:multiLevelType w:val="hybridMultilevel"/>
    <w:tmpl w:val="3F167B2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797146F0"/>
    <w:multiLevelType w:val="hybridMultilevel"/>
    <w:tmpl w:val="0AE09C2C"/>
    <w:lvl w:ilvl="0" w:tplc="06B8058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5"/>
  </w:num>
  <w:num w:numId="3">
    <w:abstractNumId w:val="12"/>
  </w:num>
  <w:num w:numId="4">
    <w:abstractNumId w:val="11"/>
  </w:num>
  <w:num w:numId="5">
    <w:abstractNumId w:val="4"/>
  </w:num>
  <w:num w:numId="6">
    <w:abstractNumId w:val="8"/>
  </w:num>
  <w:num w:numId="7">
    <w:abstractNumId w:val="10"/>
  </w:num>
  <w:num w:numId="8">
    <w:abstractNumId w:val="0"/>
  </w:num>
  <w:num w:numId="9">
    <w:abstractNumId w:val="2"/>
  </w:num>
  <w:num w:numId="10">
    <w:abstractNumId w:val="3"/>
  </w:num>
  <w:num w:numId="11">
    <w:abstractNumId w:val="1"/>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B3"/>
    <w:rsid w:val="000231A8"/>
    <w:rsid w:val="00037223"/>
    <w:rsid w:val="000861AE"/>
    <w:rsid w:val="000A7D7B"/>
    <w:rsid w:val="00122356"/>
    <w:rsid w:val="001776AC"/>
    <w:rsid w:val="0019089F"/>
    <w:rsid w:val="001E1F6A"/>
    <w:rsid w:val="001F58B1"/>
    <w:rsid w:val="00206D9A"/>
    <w:rsid w:val="00215F10"/>
    <w:rsid w:val="002657B3"/>
    <w:rsid w:val="00290FA0"/>
    <w:rsid w:val="002D0B95"/>
    <w:rsid w:val="002D1DC3"/>
    <w:rsid w:val="002F410A"/>
    <w:rsid w:val="0031122D"/>
    <w:rsid w:val="00335749"/>
    <w:rsid w:val="00337D51"/>
    <w:rsid w:val="0037432D"/>
    <w:rsid w:val="00387D5F"/>
    <w:rsid w:val="003C3CA2"/>
    <w:rsid w:val="003C500D"/>
    <w:rsid w:val="003E1B33"/>
    <w:rsid w:val="00422F41"/>
    <w:rsid w:val="004605EC"/>
    <w:rsid w:val="004735B4"/>
    <w:rsid w:val="004A4CC5"/>
    <w:rsid w:val="004B258C"/>
    <w:rsid w:val="004B338A"/>
    <w:rsid w:val="004D191E"/>
    <w:rsid w:val="00506C95"/>
    <w:rsid w:val="005D038D"/>
    <w:rsid w:val="006115E6"/>
    <w:rsid w:val="00626503"/>
    <w:rsid w:val="0063099F"/>
    <w:rsid w:val="006558DE"/>
    <w:rsid w:val="006705FB"/>
    <w:rsid w:val="0068170E"/>
    <w:rsid w:val="006A1E84"/>
    <w:rsid w:val="007157BE"/>
    <w:rsid w:val="00780227"/>
    <w:rsid w:val="00866CCA"/>
    <w:rsid w:val="00887B2C"/>
    <w:rsid w:val="008B4CDF"/>
    <w:rsid w:val="008D0675"/>
    <w:rsid w:val="008E38A9"/>
    <w:rsid w:val="0091648F"/>
    <w:rsid w:val="00927862"/>
    <w:rsid w:val="00934058"/>
    <w:rsid w:val="009551AB"/>
    <w:rsid w:val="00987E8C"/>
    <w:rsid w:val="009A4A02"/>
    <w:rsid w:val="009E25FE"/>
    <w:rsid w:val="00A22231"/>
    <w:rsid w:val="00A61789"/>
    <w:rsid w:val="00AA1689"/>
    <w:rsid w:val="00AC06A4"/>
    <w:rsid w:val="00AC6EDD"/>
    <w:rsid w:val="00AD2C11"/>
    <w:rsid w:val="00B15B43"/>
    <w:rsid w:val="00B34108"/>
    <w:rsid w:val="00B53F59"/>
    <w:rsid w:val="00B60AE6"/>
    <w:rsid w:val="00BC2938"/>
    <w:rsid w:val="00BE6580"/>
    <w:rsid w:val="00C12828"/>
    <w:rsid w:val="00C2583B"/>
    <w:rsid w:val="00C862FE"/>
    <w:rsid w:val="00CC45AC"/>
    <w:rsid w:val="00CE7A4C"/>
    <w:rsid w:val="00D01506"/>
    <w:rsid w:val="00D356C9"/>
    <w:rsid w:val="00D43712"/>
    <w:rsid w:val="00DC34CE"/>
    <w:rsid w:val="00DD451E"/>
    <w:rsid w:val="00E10881"/>
    <w:rsid w:val="00E23933"/>
    <w:rsid w:val="00E5111D"/>
    <w:rsid w:val="00E80064"/>
    <w:rsid w:val="00EE5847"/>
    <w:rsid w:val="00F52FE0"/>
    <w:rsid w:val="00F62E99"/>
    <w:rsid w:val="00F73A09"/>
    <w:rsid w:val="00F93938"/>
    <w:rsid w:val="00FA3763"/>
    <w:rsid w:val="00FB4633"/>
    <w:rsid w:val="00FF6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94552E"/>
  <w15:docId w15:val="{29D5DFB7-BE13-4D28-AB01-6A14FEBD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7B3"/>
    <w:pPr>
      <w:ind w:left="720"/>
      <w:contextualSpacing/>
    </w:pPr>
  </w:style>
  <w:style w:type="character" w:styleId="CommentReference">
    <w:name w:val="annotation reference"/>
    <w:basedOn w:val="DefaultParagraphFont"/>
    <w:uiPriority w:val="99"/>
    <w:semiHidden/>
    <w:unhideWhenUsed/>
    <w:rsid w:val="00C2583B"/>
    <w:rPr>
      <w:sz w:val="16"/>
      <w:szCs w:val="16"/>
    </w:rPr>
  </w:style>
  <w:style w:type="paragraph" w:styleId="CommentText">
    <w:name w:val="annotation text"/>
    <w:basedOn w:val="Normal"/>
    <w:link w:val="CommentTextChar"/>
    <w:uiPriority w:val="99"/>
    <w:semiHidden/>
    <w:unhideWhenUsed/>
    <w:rsid w:val="00C2583B"/>
    <w:pPr>
      <w:spacing w:line="240" w:lineRule="auto"/>
    </w:pPr>
    <w:rPr>
      <w:sz w:val="20"/>
      <w:szCs w:val="20"/>
    </w:rPr>
  </w:style>
  <w:style w:type="character" w:customStyle="1" w:styleId="CommentTextChar">
    <w:name w:val="Comment Text Char"/>
    <w:basedOn w:val="DefaultParagraphFont"/>
    <w:link w:val="CommentText"/>
    <w:uiPriority w:val="99"/>
    <w:semiHidden/>
    <w:rsid w:val="00C2583B"/>
    <w:rPr>
      <w:sz w:val="20"/>
      <w:szCs w:val="20"/>
    </w:rPr>
  </w:style>
  <w:style w:type="paragraph" w:styleId="CommentSubject">
    <w:name w:val="annotation subject"/>
    <w:basedOn w:val="CommentText"/>
    <w:next w:val="CommentText"/>
    <w:link w:val="CommentSubjectChar"/>
    <w:uiPriority w:val="99"/>
    <w:semiHidden/>
    <w:unhideWhenUsed/>
    <w:rsid w:val="00C2583B"/>
    <w:rPr>
      <w:b/>
      <w:bCs/>
    </w:rPr>
  </w:style>
  <w:style w:type="character" w:customStyle="1" w:styleId="CommentSubjectChar">
    <w:name w:val="Comment Subject Char"/>
    <w:basedOn w:val="CommentTextChar"/>
    <w:link w:val="CommentSubject"/>
    <w:uiPriority w:val="99"/>
    <w:semiHidden/>
    <w:rsid w:val="00C2583B"/>
    <w:rPr>
      <w:b/>
      <w:bCs/>
      <w:sz w:val="20"/>
      <w:szCs w:val="20"/>
    </w:rPr>
  </w:style>
  <w:style w:type="paragraph" w:styleId="BalloonText">
    <w:name w:val="Balloon Text"/>
    <w:basedOn w:val="Normal"/>
    <w:link w:val="BalloonTextChar"/>
    <w:uiPriority w:val="99"/>
    <w:semiHidden/>
    <w:unhideWhenUsed/>
    <w:rsid w:val="00C25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83B"/>
    <w:rPr>
      <w:rFonts w:ascii="Segoe UI" w:hAnsi="Segoe UI" w:cs="Segoe UI"/>
      <w:sz w:val="18"/>
      <w:szCs w:val="18"/>
    </w:rPr>
  </w:style>
  <w:style w:type="paragraph" w:styleId="Header">
    <w:name w:val="header"/>
    <w:basedOn w:val="Normal"/>
    <w:link w:val="HeaderChar"/>
    <w:uiPriority w:val="99"/>
    <w:unhideWhenUsed/>
    <w:rsid w:val="00955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1AB"/>
  </w:style>
  <w:style w:type="paragraph" w:styleId="Footer">
    <w:name w:val="footer"/>
    <w:basedOn w:val="Normal"/>
    <w:link w:val="FooterChar"/>
    <w:uiPriority w:val="99"/>
    <w:unhideWhenUsed/>
    <w:rsid w:val="00955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27B87-9670-4CEA-9A1A-3A136300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Dufau, Nancy</dc:creator>
  <cp:keywords/>
  <dc:description/>
  <cp:lastModifiedBy>Dawson, Ashley R.</cp:lastModifiedBy>
  <cp:revision>2</cp:revision>
  <dcterms:created xsi:type="dcterms:W3CDTF">2020-08-24T17:45:00Z</dcterms:created>
  <dcterms:modified xsi:type="dcterms:W3CDTF">2020-08-24T17:45:00Z</dcterms:modified>
</cp:coreProperties>
</file>