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AD47" w14:textId="77777777" w:rsidR="00846677" w:rsidRPr="00846677" w:rsidRDefault="00963BFD" w:rsidP="00846677">
      <w:pPr>
        <w:pStyle w:val="Heading1"/>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Towson University Unit-Level Assessment</w:t>
      </w:r>
      <w:r w:rsidR="00846677">
        <w:rPr>
          <w:rFonts w:asciiTheme="minorHAnsi" w:hAnsiTheme="minorHAnsi" w:cstheme="minorHAnsi"/>
          <w:sz w:val="24"/>
          <w:szCs w:val="24"/>
        </w:rPr>
        <w:t xml:space="preserve"> </w:t>
      </w:r>
      <w:r w:rsidR="006D4A87">
        <w:rPr>
          <w:rFonts w:asciiTheme="minorHAnsi" w:hAnsiTheme="minorHAnsi" w:cstheme="minorHAnsi"/>
          <w:sz w:val="24"/>
          <w:szCs w:val="24"/>
        </w:rPr>
        <w:t>Guidelines</w:t>
      </w:r>
    </w:p>
    <w:p w14:paraId="1CBD725C" w14:textId="77777777" w:rsidR="00573FF6" w:rsidRDefault="00573FF6" w:rsidP="00573FF6"/>
    <w:p w14:paraId="6DAF4869" w14:textId="77777777" w:rsidR="00DF2951" w:rsidRDefault="00573FF6" w:rsidP="00DF2951">
      <w:pPr>
        <w:rPr>
          <w:rFonts w:ascii="Times New Roman" w:hAnsi="Times New Roman" w:cs="Times New Roman"/>
          <w:sz w:val="24"/>
          <w:szCs w:val="24"/>
        </w:rPr>
      </w:pPr>
      <w:r w:rsidRPr="000B06B3">
        <w:t xml:space="preserve">Assessment of administrative units is a responsibility of the Office of the President.  The process is designed to roll-up </w:t>
      </w:r>
      <w:r w:rsidR="00164EBB">
        <w:t xml:space="preserve">the assessment results </w:t>
      </w:r>
      <w:r w:rsidRPr="000B06B3">
        <w:t>from the unit level through the division level to the institutional level</w:t>
      </w:r>
      <w:r w:rsidR="00164EBB">
        <w:t xml:space="preserve"> for reporting purposes</w:t>
      </w:r>
      <w:r w:rsidRPr="000B06B3">
        <w:t xml:space="preserve">.  A common assessment template is used and results are posted on an annual basis </w:t>
      </w:r>
      <w:r w:rsidR="00394412">
        <w:t>after</w:t>
      </w:r>
      <w:r w:rsidRPr="000B06B3">
        <w:t xml:space="preserve"> review at the unit</w:t>
      </w:r>
      <w:r w:rsidR="00394412">
        <w:t xml:space="preserve"> level.</w:t>
      </w:r>
      <w:r w:rsidRPr="000B06B3">
        <w:t xml:space="preserve"> The process is designed to benefit the unit, allowing for identification of outcomes and measures that are most useful to the unit, rather than outcomes and measures common to the divisions and the units.  As data are collected and reviewed, the unit develops strategies for improvement based on unit level requirements. This decentralized process is a hallmark of the Towson University assessment processes.</w:t>
      </w:r>
      <w:r w:rsidR="00DF2951" w:rsidRPr="00DF2951">
        <w:rPr>
          <w:rFonts w:ascii="Times New Roman" w:hAnsi="Times New Roman" w:cs="Times New Roman"/>
          <w:sz w:val="24"/>
          <w:szCs w:val="24"/>
        </w:rPr>
        <w:t xml:space="preserve"> </w:t>
      </w:r>
    </w:p>
    <w:p w14:paraId="5BBE3027" w14:textId="409620E2" w:rsidR="00DF2951" w:rsidRPr="000B710E" w:rsidRDefault="00DF2951" w:rsidP="00DF2951">
      <w:pPr>
        <w:rPr>
          <w:rFonts w:cs="Times New Roman"/>
        </w:rPr>
      </w:pPr>
      <w:r w:rsidRPr="000B710E">
        <w:rPr>
          <w:rFonts w:cs="Times New Roman"/>
        </w:rPr>
        <w:t>Assessment templates are maintained in the Compliance</w:t>
      </w:r>
      <w:r w:rsidR="003F2037">
        <w:rPr>
          <w:rFonts w:cs="Times New Roman"/>
        </w:rPr>
        <w:t xml:space="preserve"> </w:t>
      </w:r>
      <w:r w:rsidRPr="000B710E">
        <w:rPr>
          <w:rFonts w:cs="Times New Roman"/>
        </w:rPr>
        <w:t>Assist site</w:t>
      </w:r>
      <w:r>
        <w:rPr>
          <w:rFonts w:cs="Times New Roman"/>
        </w:rPr>
        <w:t xml:space="preserve">. </w:t>
      </w:r>
      <w:r w:rsidRPr="000B710E">
        <w:rPr>
          <w:rFonts w:cs="Times New Roman"/>
        </w:rPr>
        <w:t>The planning phase involves creation and approval of an “</w:t>
      </w:r>
      <w:r w:rsidRPr="000B710E">
        <w:rPr>
          <w:rFonts w:cs="Times New Roman"/>
          <w:b/>
        </w:rPr>
        <w:t>Overview”</w:t>
      </w:r>
      <w:r w:rsidRPr="000B710E">
        <w:rPr>
          <w:rFonts w:cs="Times New Roman"/>
        </w:rPr>
        <w:t xml:space="preserve"> template at the start of the assessment cycle</w:t>
      </w:r>
      <w:r>
        <w:rPr>
          <w:rFonts w:cs="Times New Roman"/>
        </w:rPr>
        <w:t xml:space="preserve"> (Attachment A)</w:t>
      </w:r>
      <w:r w:rsidRPr="000B710E">
        <w:rPr>
          <w:rFonts w:cs="Times New Roman"/>
        </w:rPr>
        <w:t xml:space="preserve">.   The reporting phase occurs annually and includes collection, analysis, and identification of improvement strategies based on that analysis use the annual </w:t>
      </w:r>
      <w:r w:rsidRPr="000B710E">
        <w:rPr>
          <w:rFonts w:cs="Times New Roman"/>
          <w:b/>
        </w:rPr>
        <w:t xml:space="preserve">“Outcome Results” </w:t>
      </w:r>
      <w:r w:rsidRPr="000B710E">
        <w:rPr>
          <w:rFonts w:cs="Times New Roman"/>
        </w:rPr>
        <w:t>reporting template</w:t>
      </w:r>
      <w:r>
        <w:rPr>
          <w:rFonts w:cs="Times New Roman"/>
        </w:rPr>
        <w:t xml:space="preserve"> (Attachment B)</w:t>
      </w:r>
      <w:r w:rsidRPr="000B710E">
        <w:rPr>
          <w:rFonts w:cs="Times New Roman"/>
        </w:rPr>
        <w:t>.   The results of the prior year’s activities are due in Compliance</w:t>
      </w:r>
      <w:r w:rsidR="003F2037">
        <w:rPr>
          <w:rFonts w:cs="Times New Roman"/>
        </w:rPr>
        <w:t xml:space="preserve"> </w:t>
      </w:r>
      <w:r w:rsidRPr="000B710E">
        <w:rPr>
          <w:rFonts w:cs="Times New Roman"/>
        </w:rPr>
        <w:t xml:space="preserve">Assist on the first business day of November.  These reports are reviewed within the administrative structures and are finalized in early January. </w:t>
      </w:r>
      <w:r w:rsidR="003F2037">
        <w:rPr>
          <w:rFonts w:cs="Times New Roman"/>
        </w:rPr>
        <w:t xml:space="preserve">  Assessment activities are reported in Compliance Assist according to the assessment schedule (Attachment 3).  </w:t>
      </w:r>
    </w:p>
    <w:p w14:paraId="2AD8E6C0" w14:textId="5E1D56D8" w:rsidR="000B06B3" w:rsidRPr="00DF2951" w:rsidRDefault="00DF2951" w:rsidP="00DF2951">
      <w:r w:rsidRPr="000B710E">
        <w:rPr>
          <w:rFonts w:cs="Times New Roman"/>
        </w:rPr>
        <w:t>The annual reporting process included a peer review critique in the spring during Assessment Day.  The rubric is designed to give users a sense of where they are in the development of a robust assessment process (A</w:t>
      </w:r>
      <w:r w:rsidR="003F2037">
        <w:rPr>
          <w:rFonts w:cs="Times New Roman"/>
        </w:rPr>
        <w:t>ttachment D</w:t>
      </w:r>
      <w:r w:rsidRPr="000B710E">
        <w:rPr>
          <w:rFonts w:cs="Times New Roman"/>
        </w:rPr>
        <w:t xml:space="preserve">).  </w:t>
      </w:r>
      <w:r w:rsidRPr="000B710E">
        <w:rPr>
          <w:rFonts w:eastAsia="Calibri" w:cs="Times New Roman"/>
        </w:rPr>
        <w:t xml:space="preserve">For each of these areas, peers rate the assessment activities according to the following rubrics: </w:t>
      </w:r>
      <w:r w:rsidR="003F2037">
        <w:rPr>
          <w:rFonts w:eastAsia="Calibri" w:cs="Times New Roman"/>
        </w:rPr>
        <w:t>B</w:t>
      </w:r>
      <w:r w:rsidRPr="000B710E">
        <w:rPr>
          <w:rFonts w:eastAsia="Calibri" w:cs="Times New Roman"/>
        </w:rPr>
        <w:t xml:space="preserve">est </w:t>
      </w:r>
      <w:r w:rsidR="003F2037">
        <w:rPr>
          <w:rFonts w:eastAsia="Calibri" w:cs="Times New Roman"/>
        </w:rPr>
        <w:t>P</w:t>
      </w:r>
      <w:r w:rsidRPr="000B710E">
        <w:rPr>
          <w:rFonts w:eastAsia="Calibri" w:cs="Times New Roman"/>
        </w:rPr>
        <w:t xml:space="preserve">ractice, </w:t>
      </w:r>
      <w:r w:rsidR="003F2037">
        <w:rPr>
          <w:rFonts w:eastAsia="Calibri" w:cs="Times New Roman"/>
        </w:rPr>
        <w:t>M</w:t>
      </w:r>
      <w:r w:rsidRPr="000B710E">
        <w:rPr>
          <w:rFonts w:eastAsia="Calibri" w:cs="Times New Roman"/>
        </w:rPr>
        <w:t>eets</w:t>
      </w:r>
      <w:r w:rsidR="003F2037">
        <w:rPr>
          <w:rFonts w:eastAsia="Calibri" w:cs="Times New Roman"/>
        </w:rPr>
        <w:t xml:space="preserve"> Expectations, Beginning</w:t>
      </w:r>
      <w:r w:rsidRPr="000B710E">
        <w:rPr>
          <w:rFonts w:eastAsia="Calibri" w:cs="Times New Roman"/>
        </w:rPr>
        <w:t xml:space="preserve">, or </w:t>
      </w:r>
      <w:r w:rsidR="003F2037">
        <w:rPr>
          <w:rFonts w:eastAsia="Calibri" w:cs="Times New Roman"/>
        </w:rPr>
        <w:t>Not Able to Rate</w:t>
      </w:r>
      <w:r w:rsidRPr="000B710E">
        <w:rPr>
          <w:rFonts w:eastAsia="Calibri" w:cs="Times New Roman"/>
        </w:rPr>
        <w:t xml:space="preserve">. These ratings, along with qualitative feedback, are designed to assure that assessment units demonstrate continuous improvement in student learning and/or planning. </w:t>
      </w:r>
      <w:r w:rsidRPr="000B710E">
        <w:rPr>
          <w:rFonts w:cs="Times New Roman"/>
        </w:rPr>
        <w:t>Assessment Day is also an important opportunity to share experiences and examine assessment processes across the campus.   Administrative units and programs present their information on an annual basis.</w:t>
      </w:r>
    </w:p>
    <w:p w14:paraId="03A6D1AF" w14:textId="77777777" w:rsidR="0059215B" w:rsidRPr="000B06B3" w:rsidRDefault="0059215B" w:rsidP="000B06B3">
      <w:r w:rsidRPr="000B06B3">
        <w:rPr>
          <w:rFonts w:cstheme="minorHAnsi"/>
        </w:rPr>
        <w:t>Assessment is a process</w:t>
      </w:r>
      <w:r w:rsidR="006B3C6A" w:rsidRPr="000B06B3">
        <w:rPr>
          <w:rFonts w:cstheme="minorHAnsi"/>
        </w:rPr>
        <w:t xml:space="preserve"> that occurs over an extended period of </w:t>
      </w:r>
      <w:r w:rsidR="006153C5">
        <w:rPr>
          <w:rFonts w:cstheme="minorHAnsi"/>
        </w:rPr>
        <w:t>time</w:t>
      </w:r>
      <w:r w:rsidR="006B3C6A" w:rsidRPr="000B06B3">
        <w:rPr>
          <w:rFonts w:cstheme="minorHAnsi"/>
        </w:rPr>
        <w:t xml:space="preserve"> (the assessment cycle)</w:t>
      </w:r>
      <w:r w:rsidR="000B06B3">
        <w:rPr>
          <w:rFonts w:cstheme="minorHAnsi"/>
        </w:rPr>
        <w:t>.</w:t>
      </w:r>
      <w:r w:rsidR="000B06B3" w:rsidRPr="000B06B3">
        <w:rPr>
          <w:rFonts w:cstheme="minorHAnsi"/>
        </w:rPr>
        <w:t xml:space="preserve">  The assessment cycle is linked to the strategic planning process</w:t>
      </w:r>
      <w:r w:rsidR="00394412">
        <w:rPr>
          <w:rFonts w:cstheme="minorHAnsi"/>
        </w:rPr>
        <w:t xml:space="preserve"> and is currently set as a five</w:t>
      </w:r>
      <w:r w:rsidR="00164EBB">
        <w:rPr>
          <w:rFonts w:cstheme="minorHAnsi"/>
        </w:rPr>
        <w:t>-</w:t>
      </w:r>
      <w:r w:rsidR="00394412">
        <w:rPr>
          <w:rFonts w:cstheme="minorHAnsi"/>
        </w:rPr>
        <w:t>year cycle</w:t>
      </w:r>
      <w:r w:rsidR="000B06B3" w:rsidRPr="000B06B3">
        <w:rPr>
          <w:rFonts w:cstheme="minorHAnsi"/>
        </w:rPr>
        <w:t xml:space="preserve">.   The process includes five key </w:t>
      </w:r>
      <w:r w:rsidR="00953978">
        <w:rPr>
          <w:rFonts w:cstheme="minorHAnsi"/>
        </w:rPr>
        <w:t>elements</w:t>
      </w:r>
      <w:r w:rsidR="000B06B3" w:rsidRPr="000B06B3">
        <w:rPr>
          <w:rFonts w:cstheme="minorHAnsi"/>
        </w:rPr>
        <w:t xml:space="preserve"> that are included in the assessment template for each unit</w:t>
      </w:r>
      <w:r w:rsidRPr="000B06B3">
        <w:rPr>
          <w:rFonts w:cstheme="minorHAnsi"/>
        </w:rPr>
        <w:t>:</w:t>
      </w:r>
    </w:p>
    <w:p w14:paraId="31C6CDB0" w14:textId="77777777" w:rsidR="0059215B" w:rsidRPr="000B06B3" w:rsidRDefault="0059215B" w:rsidP="0059215B">
      <w:pPr>
        <w:pStyle w:val="ListParagraph"/>
        <w:numPr>
          <w:ilvl w:val="0"/>
          <w:numId w:val="2"/>
        </w:numPr>
      </w:pPr>
      <w:r w:rsidRPr="000B06B3">
        <w:t xml:space="preserve">Create </w:t>
      </w:r>
      <w:r w:rsidR="00164EBB">
        <w:t xml:space="preserve">the </w:t>
      </w:r>
      <w:r w:rsidRPr="000B06B3">
        <w:t xml:space="preserve">mission of </w:t>
      </w:r>
      <w:r w:rsidR="00164EBB">
        <w:t xml:space="preserve">the </w:t>
      </w:r>
      <w:r w:rsidRPr="000B06B3">
        <w:t xml:space="preserve">unit, identifying primary functions, </w:t>
      </w:r>
      <w:r w:rsidR="00164EBB">
        <w:t xml:space="preserve">and </w:t>
      </w:r>
      <w:r w:rsidRPr="000B06B3">
        <w:t>stakeholders</w:t>
      </w:r>
    </w:p>
    <w:p w14:paraId="32CDABBC" w14:textId="77777777" w:rsidR="0059215B" w:rsidRPr="000B06B3" w:rsidRDefault="0059215B" w:rsidP="003E450E">
      <w:pPr>
        <w:pStyle w:val="ListParagraph"/>
        <w:numPr>
          <w:ilvl w:val="0"/>
          <w:numId w:val="2"/>
        </w:numPr>
        <w:rPr>
          <w:rFonts w:cstheme="minorHAnsi"/>
        </w:rPr>
      </w:pPr>
      <w:r w:rsidRPr="000B06B3">
        <w:t>Establish objectives</w:t>
      </w:r>
      <w:r w:rsidR="006B3C6A" w:rsidRPr="000B06B3">
        <w:t xml:space="preserve"> and strategies </w:t>
      </w:r>
      <w:r w:rsidRPr="000B06B3">
        <w:t>based on efficiency, productivity, and impact on stakeholders</w:t>
      </w:r>
    </w:p>
    <w:p w14:paraId="17421A20" w14:textId="77777777" w:rsidR="0059215B" w:rsidRPr="000B06B3" w:rsidRDefault="00164EBB" w:rsidP="003E450E">
      <w:pPr>
        <w:pStyle w:val="ListParagraph"/>
        <w:numPr>
          <w:ilvl w:val="0"/>
          <w:numId w:val="2"/>
        </w:numPr>
        <w:rPr>
          <w:rFonts w:cstheme="minorHAnsi"/>
        </w:rPr>
      </w:pPr>
      <w:r>
        <w:t>Identify assessment processes</w:t>
      </w:r>
    </w:p>
    <w:p w14:paraId="5DF0F465" w14:textId="77777777" w:rsidR="0059215B" w:rsidRPr="000B06B3" w:rsidRDefault="00164EBB" w:rsidP="003E450E">
      <w:pPr>
        <w:pStyle w:val="ListParagraph"/>
        <w:numPr>
          <w:ilvl w:val="0"/>
          <w:numId w:val="2"/>
        </w:numPr>
        <w:rPr>
          <w:rFonts w:cstheme="minorHAnsi"/>
        </w:rPr>
      </w:pPr>
      <w:r>
        <w:t>Report</w:t>
      </w:r>
      <w:r w:rsidR="0059215B" w:rsidRPr="000B06B3">
        <w:t xml:space="preserve"> </w:t>
      </w:r>
      <w:r w:rsidR="00EA44EA">
        <w:t xml:space="preserve">assessment results or </w:t>
      </w:r>
      <w:r w:rsidR="0059215B" w:rsidRPr="000B06B3">
        <w:t>areas for improvement based on data</w:t>
      </w:r>
    </w:p>
    <w:p w14:paraId="7FDCBE6C" w14:textId="77777777" w:rsidR="0059215B" w:rsidRPr="000B06B3" w:rsidRDefault="00164EBB" w:rsidP="003E450E">
      <w:pPr>
        <w:pStyle w:val="ListParagraph"/>
        <w:numPr>
          <w:ilvl w:val="0"/>
          <w:numId w:val="2"/>
        </w:numPr>
        <w:rPr>
          <w:rFonts w:cstheme="minorHAnsi"/>
        </w:rPr>
      </w:pPr>
      <w:r>
        <w:rPr>
          <w:rFonts w:cstheme="minorHAnsi"/>
        </w:rPr>
        <w:t>D</w:t>
      </w:r>
      <w:r w:rsidR="0059215B" w:rsidRPr="000B06B3">
        <w:rPr>
          <w:rFonts w:cstheme="minorHAnsi"/>
        </w:rPr>
        <w:t>evelop improvement strategies based on analyses</w:t>
      </w:r>
      <w:r>
        <w:rPr>
          <w:rFonts w:cstheme="minorHAnsi"/>
        </w:rPr>
        <w:t xml:space="preserve"> of data</w:t>
      </w:r>
    </w:p>
    <w:p w14:paraId="52823F7A" w14:textId="77777777" w:rsidR="001E74C8" w:rsidRDefault="00953978">
      <w:pPr>
        <w:rPr>
          <w:rFonts w:cstheme="minorHAnsi"/>
        </w:rPr>
      </w:pPr>
      <w:r>
        <w:rPr>
          <w:rFonts w:cstheme="minorHAnsi"/>
        </w:rPr>
        <w:t xml:space="preserve">Elements </w:t>
      </w:r>
      <w:r w:rsidR="00963BFD" w:rsidRPr="000B06B3">
        <w:rPr>
          <w:rFonts w:cstheme="minorHAnsi"/>
        </w:rPr>
        <w:t xml:space="preserve">1-3 are </w:t>
      </w:r>
      <w:r w:rsidR="006B3C6A" w:rsidRPr="000B06B3">
        <w:rPr>
          <w:rFonts w:cstheme="minorHAnsi"/>
        </w:rPr>
        <w:t xml:space="preserve">part of the planning phase.   Once these are approved, the second phase of assessment </w:t>
      </w:r>
      <w:r w:rsidR="002721AD" w:rsidRPr="000B06B3">
        <w:rPr>
          <w:rFonts w:cstheme="minorHAnsi"/>
        </w:rPr>
        <w:t>begins</w:t>
      </w:r>
      <w:r w:rsidR="002721AD">
        <w:rPr>
          <w:rFonts w:cstheme="minorHAnsi"/>
        </w:rPr>
        <w:t xml:space="preserve"> </w:t>
      </w:r>
      <w:r w:rsidR="00394412">
        <w:rPr>
          <w:rFonts w:cstheme="minorHAnsi"/>
        </w:rPr>
        <w:t>–</w:t>
      </w:r>
      <w:r w:rsidR="006B3C6A" w:rsidRPr="000B06B3">
        <w:rPr>
          <w:rFonts w:cstheme="minorHAnsi"/>
        </w:rPr>
        <w:t xml:space="preserve"> </w:t>
      </w:r>
      <w:r w:rsidR="00394412">
        <w:rPr>
          <w:rFonts w:cstheme="minorHAnsi"/>
        </w:rPr>
        <w:t xml:space="preserve">the reporting and improvement phase which includes </w:t>
      </w:r>
      <w:r>
        <w:rPr>
          <w:rFonts w:cstheme="minorHAnsi"/>
        </w:rPr>
        <w:t xml:space="preserve">elements </w:t>
      </w:r>
      <w:r w:rsidR="00963BFD" w:rsidRPr="000B06B3">
        <w:rPr>
          <w:rFonts w:cstheme="minorHAnsi"/>
        </w:rPr>
        <w:t>4 and 5</w:t>
      </w:r>
      <w:r w:rsidR="00394412">
        <w:rPr>
          <w:rFonts w:cstheme="minorHAnsi"/>
        </w:rPr>
        <w:t xml:space="preserve">.  </w:t>
      </w:r>
      <w:r w:rsidR="001E74C8">
        <w:rPr>
          <w:rFonts w:cstheme="minorHAnsi"/>
        </w:rPr>
        <w:t xml:space="preserve">Reporting occurs </w:t>
      </w:r>
      <w:r w:rsidR="001E74C8">
        <w:rPr>
          <w:rFonts w:cstheme="minorHAnsi"/>
        </w:rPr>
        <w:lastRenderedPageBreak/>
        <w:t>throughout the assessment cycle with the submission of annual updates.   Divisional assessment committees review these reports to ensure ongoing assessment and determine the efficiency and effectiveness of units in the division in meeting divisional and institutional plans.</w:t>
      </w:r>
    </w:p>
    <w:p w14:paraId="69CA0A1A" w14:textId="77777777" w:rsidR="00C60DDF" w:rsidRPr="00C60DDF" w:rsidRDefault="00C60DDF">
      <w:pPr>
        <w:rPr>
          <w:rFonts w:cstheme="minorHAnsi"/>
          <w:b/>
        </w:rPr>
      </w:pPr>
      <w:r w:rsidRPr="00C60DDF">
        <w:rPr>
          <w:rFonts w:cstheme="minorHAnsi"/>
          <w:b/>
        </w:rPr>
        <w:t xml:space="preserve">Planning Phase </w:t>
      </w:r>
    </w:p>
    <w:p w14:paraId="06F27F09" w14:textId="77777777" w:rsidR="00953978" w:rsidRPr="00C60DDF" w:rsidRDefault="00953978">
      <w:pPr>
        <w:rPr>
          <w:rFonts w:cstheme="minorHAnsi"/>
        </w:rPr>
      </w:pPr>
      <w:r w:rsidRPr="00C60DDF">
        <w:rPr>
          <w:rFonts w:cstheme="minorHAnsi"/>
        </w:rPr>
        <w:t>The</w:t>
      </w:r>
      <w:r w:rsidR="00C60DDF" w:rsidRPr="00C60DDF">
        <w:rPr>
          <w:rFonts w:cstheme="minorHAnsi"/>
        </w:rPr>
        <w:t xml:space="preserve"> p</w:t>
      </w:r>
      <w:r w:rsidRPr="00C60DDF">
        <w:rPr>
          <w:rFonts w:cstheme="minorHAnsi"/>
        </w:rPr>
        <w:t>lanning phase involve</w:t>
      </w:r>
      <w:r w:rsidR="00C60DDF" w:rsidRPr="00C60DDF">
        <w:rPr>
          <w:rFonts w:cstheme="minorHAnsi"/>
        </w:rPr>
        <w:t>s identification of unit goals, objectives/outcomes</w:t>
      </w:r>
      <w:r w:rsidR="00164EBB">
        <w:rPr>
          <w:rFonts w:cstheme="minorHAnsi"/>
        </w:rPr>
        <w:t>,</w:t>
      </w:r>
      <w:r w:rsidR="00C60DDF" w:rsidRPr="00C60DDF">
        <w:rPr>
          <w:rFonts w:cstheme="minorHAnsi"/>
        </w:rPr>
        <w:t xml:space="preserve"> and identification of the processes used to assess the measures.   Once identified, these elements are posted on the assessment template in Compliance Assist.  Steps involved in this phase include:  </w:t>
      </w:r>
    </w:p>
    <w:p w14:paraId="20002BDA" w14:textId="77777777" w:rsidR="003E450E" w:rsidRPr="00D21FBF" w:rsidRDefault="006B3C6A" w:rsidP="00C60DDF">
      <w:pPr>
        <w:pStyle w:val="Heading1"/>
        <w:numPr>
          <w:ilvl w:val="0"/>
          <w:numId w:val="1"/>
        </w:numPr>
        <w:rPr>
          <w:rFonts w:asciiTheme="minorHAnsi" w:hAnsiTheme="minorHAnsi" w:cstheme="minorHAnsi"/>
          <w:b w:val="0"/>
          <w:color w:val="auto"/>
          <w:sz w:val="22"/>
          <w:szCs w:val="22"/>
        </w:rPr>
      </w:pPr>
      <w:r w:rsidRPr="00D21FBF">
        <w:rPr>
          <w:rFonts w:asciiTheme="minorHAnsi" w:hAnsiTheme="minorHAnsi" w:cstheme="minorHAnsi"/>
          <w:color w:val="auto"/>
          <w:sz w:val="22"/>
          <w:szCs w:val="22"/>
        </w:rPr>
        <w:t>E</w:t>
      </w:r>
      <w:r w:rsidR="003E450E" w:rsidRPr="00D21FBF">
        <w:rPr>
          <w:rFonts w:asciiTheme="minorHAnsi" w:hAnsiTheme="minorHAnsi" w:cstheme="minorHAnsi"/>
          <w:color w:val="auto"/>
          <w:sz w:val="22"/>
          <w:szCs w:val="22"/>
        </w:rPr>
        <w:t xml:space="preserve">ach unit </w:t>
      </w:r>
      <w:r w:rsidR="00047E24" w:rsidRPr="00D21FBF">
        <w:rPr>
          <w:rFonts w:asciiTheme="minorHAnsi" w:hAnsiTheme="minorHAnsi" w:cstheme="minorHAnsi"/>
          <w:color w:val="auto"/>
          <w:sz w:val="22"/>
          <w:szCs w:val="22"/>
        </w:rPr>
        <w:t xml:space="preserve">develops a </w:t>
      </w:r>
      <w:r w:rsidR="003E450E" w:rsidRPr="00D21FBF">
        <w:rPr>
          <w:rFonts w:asciiTheme="minorHAnsi" w:hAnsiTheme="minorHAnsi" w:cstheme="minorHAnsi"/>
          <w:color w:val="auto"/>
          <w:sz w:val="22"/>
          <w:szCs w:val="22"/>
        </w:rPr>
        <w:t xml:space="preserve">mission statement </w:t>
      </w:r>
      <w:r w:rsidR="00AA121D" w:rsidRPr="00D21FBF">
        <w:rPr>
          <w:rFonts w:asciiTheme="minorHAnsi" w:hAnsiTheme="minorHAnsi" w:cstheme="minorHAnsi"/>
          <w:color w:val="auto"/>
          <w:sz w:val="22"/>
          <w:szCs w:val="22"/>
        </w:rPr>
        <w:t xml:space="preserve">developed </w:t>
      </w:r>
      <w:r w:rsidR="003E450E" w:rsidRPr="00D21FBF">
        <w:rPr>
          <w:rFonts w:asciiTheme="minorHAnsi" w:hAnsiTheme="minorHAnsi" w:cstheme="minorHAnsi"/>
          <w:color w:val="auto"/>
          <w:sz w:val="22"/>
          <w:szCs w:val="22"/>
        </w:rPr>
        <w:t>within the context of divisional and institutional expectations</w:t>
      </w:r>
      <w:r w:rsidR="00AA121D" w:rsidRPr="00D21FBF">
        <w:rPr>
          <w:rFonts w:asciiTheme="minorHAnsi" w:hAnsiTheme="minorHAnsi" w:cstheme="minorHAnsi"/>
          <w:color w:val="auto"/>
          <w:sz w:val="22"/>
          <w:szCs w:val="22"/>
        </w:rPr>
        <w:t>.</w:t>
      </w:r>
      <w:r w:rsidR="00AA121D" w:rsidRPr="00D21FBF">
        <w:rPr>
          <w:rFonts w:asciiTheme="minorHAnsi" w:hAnsiTheme="minorHAnsi" w:cstheme="minorHAnsi"/>
          <w:b w:val="0"/>
          <w:color w:val="auto"/>
          <w:sz w:val="22"/>
          <w:szCs w:val="22"/>
        </w:rPr>
        <w:t xml:space="preserve"> </w:t>
      </w:r>
      <w:r w:rsidR="00183B38" w:rsidRPr="00D21FBF">
        <w:rPr>
          <w:rFonts w:asciiTheme="minorHAnsi" w:hAnsiTheme="minorHAnsi" w:cstheme="minorHAnsi"/>
          <w:b w:val="0"/>
          <w:color w:val="auto"/>
          <w:sz w:val="22"/>
          <w:szCs w:val="22"/>
        </w:rPr>
        <w:t xml:space="preserve">  </w:t>
      </w:r>
      <w:r w:rsidR="00AA121D" w:rsidRPr="00D21FBF">
        <w:rPr>
          <w:rFonts w:asciiTheme="minorHAnsi" w:hAnsiTheme="minorHAnsi" w:cstheme="minorHAnsi"/>
          <w:b w:val="0"/>
          <w:color w:val="auto"/>
          <w:sz w:val="22"/>
          <w:szCs w:val="22"/>
        </w:rPr>
        <w:t>It includes identification of key stakeholders of unit services</w:t>
      </w:r>
      <w:r w:rsidR="00183B38" w:rsidRPr="00D21FBF">
        <w:rPr>
          <w:rFonts w:asciiTheme="minorHAnsi" w:hAnsiTheme="minorHAnsi" w:cstheme="minorHAnsi"/>
          <w:b w:val="0"/>
          <w:color w:val="auto"/>
          <w:sz w:val="22"/>
          <w:szCs w:val="22"/>
        </w:rPr>
        <w:t>.</w:t>
      </w:r>
    </w:p>
    <w:p w14:paraId="419F0AC9" w14:textId="77777777" w:rsidR="003E450E" w:rsidRPr="00D21FBF" w:rsidRDefault="00183B38" w:rsidP="00C60DDF">
      <w:pPr>
        <w:pStyle w:val="Heading1"/>
        <w:numPr>
          <w:ilvl w:val="0"/>
          <w:numId w:val="1"/>
        </w:numPr>
        <w:rPr>
          <w:rFonts w:asciiTheme="minorHAnsi" w:hAnsiTheme="minorHAnsi" w:cstheme="minorHAnsi"/>
          <w:color w:val="auto"/>
          <w:sz w:val="22"/>
          <w:szCs w:val="22"/>
        </w:rPr>
      </w:pPr>
      <w:r w:rsidRPr="00D21FBF">
        <w:rPr>
          <w:rFonts w:asciiTheme="minorHAnsi" w:hAnsiTheme="minorHAnsi" w:cstheme="minorHAnsi"/>
          <w:color w:val="auto"/>
          <w:sz w:val="22"/>
          <w:szCs w:val="22"/>
        </w:rPr>
        <w:t>Each unit i</w:t>
      </w:r>
      <w:r w:rsidR="003E450E" w:rsidRPr="00D21FBF">
        <w:rPr>
          <w:rFonts w:asciiTheme="minorHAnsi" w:hAnsiTheme="minorHAnsi" w:cstheme="minorHAnsi"/>
          <w:color w:val="auto"/>
          <w:sz w:val="22"/>
          <w:szCs w:val="22"/>
        </w:rPr>
        <w:t xml:space="preserve">dentifies </w:t>
      </w:r>
      <w:r w:rsidR="00164EBB">
        <w:rPr>
          <w:rFonts w:asciiTheme="minorHAnsi" w:hAnsiTheme="minorHAnsi" w:cstheme="minorHAnsi"/>
          <w:color w:val="auto"/>
          <w:sz w:val="22"/>
          <w:szCs w:val="22"/>
        </w:rPr>
        <w:t xml:space="preserve">two or three key </w:t>
      </w:r>
      <w:r w:rsidR="00047E24" w:rsidRPr="00D21FBF">
        <w:rPr>
          <w:rFonts w:asciiTheme="minorHAnsi" w:hAnsiTheme="minorHAnsi" w:cstheme="minorHAnsi"/>
          <w:color w:val="auto"/>
          <w:sz w:val="22"/>
          <w:szCs w:val="22"/>
        </w:rPr>
        <w:t>u</w:t>
      </w:r>
      <w:r w:rsidR="003E450E" w:rsidRPr="00D21FBF">
        <w:rPr>
          <w:rFonts w:asciiTheme="minorHAnsi" w:hAnsiTheme="minorHAnsi" w:cstheme="minorHAnsi"/>
          <w:color w:val="auto"/>
          <w:sz w:val="22"/>
          <w:szCs w:val="22"/>
        </w:rPr>
        <w:t>nit</w:t>
      </w:r>
      <w:r w:rsidR="00047E24" w:rsidRPr="00D21FBF">
        <w:rPr>
          <w:rFonts w:asciiTheme="minorHAnsi" w:hAnsiTheme="minorHAnsi" w:cstheme="minorHAnsi"/>
          <w:color w:val="auto"/>
          <w:sz w:val="22"/>
          <w:szCs w:val="22"/>
        </w:rPr>
        <w:t>-l</w:t>
      </w:r>
      <w:r w:rsidR="003E450E" w:rsidRPr="00D21FBF">
        <w:rPr>
          <w:rFonts w:asciiTheme="minorHAnsi" w:hAnsiTheme="minorHAnsi" w:cstheme="minorHAnsi"/>
          <w:color w:val="auto"/>
          <w:sz w:val="22"/>
          <w:szCs w:val="22"/>
        </w:rPr>
        <w:t xml:space="preserve">evel </w:t>
      </w:r>
      <w:r w:rsidR="00047E24" w:rsidRPr="00D21FBF">
        <w:rPr>
          <w:rFonts w:asciiTheme="minorHAnsi" w:hAnsiTheme="minorHAnsi" w:cstheme="minorHAnsi"/>
          <w:color w:val="auto"/>
          <w:sz w:val="22"/>
          <w:szCs w:val="22"/>
        </w:rPr>
        <w:t>g</w:t>
      </w:r>
      <w:r w:rsidR="003E450E" w:rsidRPr="00D21FBF">
        <w:rPr>
          <w:rFonts w:asciiTheme="minorHAnsi" w:hAnsiTheme="minorHAnsi" w:cstheme="minorHAnsi"/>
          <w:color w:val="auto"/>
          <w:sz w:val="22"/>
          <w:szCs w:val="22"/>
        </w:rPr>
        <w:t xml:space="preserve">oals </w:t>
      </w:r>
      <w:r w:rsidR="00047E24" w:rsidRPr="00D21FBF">
        <w:rPr>
          <w:rFonts w:asciiTheme="minorHAnsi" w:hAnsiTheme="minorHAnsi" w:cstheme="minorHAnsi"/>
          <w:color w:val="auto"/>
          <w:sz w:val="22"/>
          <w:szCs w:val="22"/>
        </w:rPr>
        <w:t>r</w:t>
      </w:r>
      <w:r w:rsidR="003E450E" w:rsidRPr="00D21FBF">
        <w:rPr>
          <w:rFonts w:asciiTheme="minorHAnsi" w:hAnsiTheme="minorHAnsi" w:cstheme="minorHAnsi"/>
          <w:color w:val="auto"/>
          <w:sz w:val="22"/>
          <w:szCs w:val="22"/>
        </w:rPr>
        <w:t xml:space="preserve">elated to </w:t>
      </w:r>
      <w:r w:rsidR="00047E24" w:rsidRPr="00D21FBF">
        <w:rPr>
          <w:rFonts w:asciiTheme="minorHAnsi" w:hAnsiTheme="minorHAnsi" w:cstheme="minorHAnsi"/>
          <w:color w:val="auto"/>
          <w:sz w:val="22"/>
          <w:szCs w:val="22"/>
        </w:rPr>
        <w:t>d</w:t>
      </w:r>
      <w:r w:rsidR="003E450E" w:rsidRPr="00D21FBF">
        <w:rPr>
          <w:rFonts w:asciiTheme="minorHAnsi" w:hAnsiTheme="minorHAnsi" w:cstheme="minorHAnsi"/>
          <w:color w:val="auto"/>
          <w:sz w:val="22"/>
          <w:szCs w:val="22"/>
        </w:rPr>
        <w:t>ivisional</w:t>
      </w:r>
      <w:r w:rsidR="006C14F5" w:rsidRPr="00D21FBF">
        <w:rPr>
          <w:rFonts w:asciiTheme="minorHAnsi" w:hAnsiTheme="minorHAnsi" w:cstheme="minorHAnsi"/>
          <w:color w:val="auto"/>
          <w:sz w:val="22"/>
          <w:szCs w:val="22"/>
        </w:rPr>
        <w:t>/</w:t>
      </w:r>
      <w:r w:rsidR="00047E24" w:rsidRPr="00D21FBF">
        <w:rPr>
          <w:rFonts w:asciiTheme="minorHAnsi" w:hAnsiTheme="minorHAnsi" w:cstheme="minorHAnsi"/>
          <w:color w:val="auto"/>
          <w:sz w:val="22"/>
          <w:szCs w:val="22"/>
        </w:rPr>
        <w:t>i</w:t>
      </w:r>
      <w:r w:rsidR="006C14F5" w:rsidRPr="00D21FBF">
        <w:rPr>
          <w:rFonts w:asciiTheme="minorHAnsi" w:hAnsiTheme="minorHAnsi" w:cstheme="minorHAnsi"/>
          <w:color w:val="auto"/>
          <w:sz w:val="22"/>
          <w:szCs w:val="22"/>
        </w:rPr>
        <w:t>nstitutional</w:t>
      </w:r>
      <w:r w:rsidR="003E450E" w:rsidRPr="00D21FBF">
        <w:rPr>
          <w:rFonts w:asciiTheme="minorHAnsi" w:hAnsiTheme="minorHAnsi" w:cstheme="minorHAnsi"/>
          <w:color w:val="auto"/>
          <w:sz w:val="22"/>
          <w:szCs w:val="22"/>
        </w:rPr>
        <w:t xml:space="preserve"> </w:t>
      </w:r>
      <w:r w:rsidR="00047E24" w:rsidRPr="00D21FBF">
        <w:rPr>
          <w:rFonts w:asciiTheme="minorHAnsi" w:hAnsiTheme="minorHAnsi" w:cstheme="minorHAnsi"/>
          <w:color w:val="auto"/>
          <w:sz w:val="22"/>
          <w:szCs w:val="22"/>
        </w:rPr>
        <w:t>g</w:t>
      </w:r>
      <w:r w:rsidR="003E450E" w:rsidRPr="00D21FBF">
        <w:rPr>
          <w:rFonts w:asciiTheme="minorHAnsi" w:hAnsiTheme="minorHAnsi" w:cstheme="minorHAnsi"/>
          <w:color w:val="auto"/>
          <w:sz w:val="22"/>
          <w:szCs w:val="22"/>
        </w:rPr>
        <w:t>oals</w:t>
      </w:r>
      <w:r w:rsidR="00C60DDF" w:rsidRPr="00D21FBF">
        <w:rPr>
          <w:rFonts w:asciiTheme="minorHAnsi" w:hAnsiTheme="minorHAnsi" w:cstheme="minorHAnsi"/>
          <w:color w:val="auto"/>
          <w:sz w:val="22"/>
          <w:szCs w:val="22"/>
        </w:rPr>
        <w:t>.</w:t>
      </w:r>
    </w:p>
    <w:p w14:paraId="0D6D8A87" w14:textId="77777777" w:rsidR="006B0BF5" w:rsidRPr="00D21FBF" w:rsidRDefault="006B0BF5" w:rsidP="00C60DDF">
      <w:pPr>
        <w:pStyle w:val="ListParagraph"/>
        <w:autoSpaceDE w:val="0"/>
        <w:autoSpaceDN w:val="0"/>
        <w:adjustRightInd w:val="0"/>
        <w:spacing w:after="0" w:line="240" w:lineRule="auto"/>
        <w:rPr>
          <w:rFonts w:cstheme="minorHAnsi"/>
        </w:rPr>
      </w:pPr>
    </w:p>
    <w:p w14:paraId="3E6817CA" w14:textId="77777777" w:rsidR="00047E24" w:rsidRPr="00D21FBF" w:rsidRDefault="00047E24" w:rsidP="00C60DDF">
      <w:pPr>
        <w:pStyle w:val="ListParagraph"/>
        <w:autoSpaceDE w:val="0"/>
        <w:autoSpaceDN w:val="0"/>
        <w:adjustRightInd w:val="0"/>
        <w:spacing w:after="0" w:line="240" w:lineRule="auto"/>
        <w:rPr>
          <w:rFonts w:cstheme="minorHAnsi"/>
        </w:rPr>
      </w:pPr>
      <w:r w:rsidRPr="00D21FBF">
        <w:rPr>
          <w:rFonts w:cstheme="minorHAnsi"/>
        </w:rPr>
        <w:t>The goals of administrative and educational support units should be aligned to the goals of the institution. Goals are broader/general assertions that describe the overarching long-term intended objectives of the unit. Goals may or may not be measurable and usually need to be further developed as separate/distinct objectives, that, when measured appropriately, provide evidence of the unit is accomplishing its goals.</w:t>
      </w:r>
    </w:p>
    <w:p w14:paraId="3A656372" w14:textId="77777777" w:rsidR="006B0BF5" w:rsidRPr="00D21FBF" w:rsidRDefault="006B0BF5" w:rsidP="00C60DDF">
      <w:pPr>
        <w:autoSpaceDE w:val="0"/>
        <w:autoSpaceDN w:val="0"/>
        <w:adjustRightInd w:val="0"/>
        <w:spacing w:after="0" w:line="240" w:lineRule="auto"/>
        <w:ind w:left="720"/>
        <w:rPr>
          <w:rFonts w:cstheme="minorHAnsi"/>
        </w:rPr>
      </w:pPr>
    </w:p>
    <w:p w14:paraId="5EA4D5B1" w14:textId="77777777" w:rsidR="006B3C6A" w:rsidRPr="00D21FBF" w:rsidRDefault="00047E24" w:rsidP="00C60DDF">
      <w:pPr>
        <w:autoSpaceDE w:val="0"/>
        <w:autoSpaceDN w:val="0"/>
        <w:adjustRightInd w:val="0"/>
        <w:spacing w:after="0" w:line="240" w:lineRule="auto"/>
        <w:ind w:left="720"/>
        <w:rPr>
          <w:rFonts w:cstheme="minorHAnsi"/>
        </w:rPr>
      </w:pPr>
      <w:r w:rsidRPr="00D21FBF">
        <w:rPr>
          <w:rFonts w:cstheme="minorHAnsi"/>
        </w:rPr>
        <w:t>Example of a goal (administrative unit):</w:t>
      </w:r>
    </w:p>
    <w:p w14:paraId="74A6D9DD" w14:textId="77777777" w:rsidR="00047E24" w:rsidRPr="00D21FBF" w:rsidRDefault="00047E24" w:rsidP="00C60DDF">
      <w:pPr>
        <w:pStyle w:val="ListParagraph"/>
        <w:autoSpaceDE w:val="0"/>
        <w:autoSpaceDN w:val="0"/>
        <w:adjustRightInd w:val="0"/>
        <w:spacing w:after="0" w:line="240" w:lineRule="auto"/>
        <w:ind w:left="1440"/>
        <w:rPr>
          <w:rFonts w:cstheme="minorHAnsi"/>
        </w:rPr>
      </w:pPr>
      <w:r w:rsidRPr="00D21FBF">
        <w:rPr>
          <w:rFonts w:cstheme="minorHAnsi"/>
        </w:rPr>
        <w:t xml:space="preserve"> “To improve TU’s student learning assessment process”</w:t>
      </w:r>
    </w:p>
    <w:p w14:paraId="4000E913" w14:textId="77777777" w:rsidR="006B3C6A" w:rsidRPr="00D21FBF" w:rsidRDefault="006B3C6A" w:rsidP="00C60DDF">
      <w:pPr>
        <w:pStyle w:val="ListParagraph"/>
        <w:autoSpaceDE w:val="0"/>
        <w:autoSpaceDN w:val="0"/>
        <w:adjustRightInd w:val="0"/>
        <w:spacing w:after="0" w:line="240" w:lineRule="auto"/>
        <w:ind w:left="1440"/>
        <w:rPr>
          <w:rFonts w:cstheme="minorHAnsi"/>
        </w:rPr>
      </w:pPr>
    </w:p>
    <w:p w14:paraId="7DFA460E" w14:textId="77777777" w:rsidR="006B0BF5" w:rsidRPr="00D21FBF" w:rsidRDefault="00047E24" w:rsidP="00C60DDF">
      <w:pPr>
        <w:pStyle w:val="ListParagraph"/>
        <w:autoSpaceDE w:val="0"/>
        <w:autoSpaceDN w:val="0"/>
        <w:adjustRightInd w:val="0"/>
        <w:spacing w:after="0" w:line="240" w:lineRule="auto"/>
        <w:rPr>
          <w:rFonts w:cstheme="minorHAnsi"/>
        </w:rPr>
      </w:pPr>
      <w:r w:rsidRPr="00D21FBF">
        <w:rPr>
          <w:rFonts w:cstheme="minorHAnsi"/>
        </w:rPr>
        <w:t>Example of a goal (educational support unit):</w:t>
      </w:r>
    </w:p>
    <w:p w14:paraId="055E8438" w14:textId="77777777" w:rsidR="00047E24" w:rsidRPr="00D21FBF" w:rsidRDefault="006B0BF5" w:rsidP="00C60DDF">
      <w:pPr>
        <w:pStyle w:val="ListParagraph"/>
        <w:autoSpaceDE w:val="0"/>
        <w:autoSpaceDN w:val="0"/>
        <w:adjustRightInd w:val="0"/>
        <w:spacing w:after="0" w:line="240" w:lineRule="auto"/>
        <w:ind w:left="1440"/>
        <w:rPr>
          <w:rFonts w:cstheme="minorHAnsi"/>
        </w:rPr>
      </w:pPr>
      <w:r w:rsidRPr="00D21FBF">
        <w:rPr>
          <w:rFonts w:cstheme="minorHAnsi"/>
        </w:rPr>
        <w:t>“</w:t>
      </w:r>
      <w:r w:rsidR="00047E24" w:rsidRPr="00D21FBF">
        <w:rPr>
          <w:rFonts w:cstheme="minorHAnsi"/>
        </w:rPr>
        <w:t>To provide leadership skills to students and student leaders”</w:t>
      </w:r>
    </w:p>
    <w:p w14:paraId="16031902" w14:textId="77777777" w:rsidR="00047E24" w:rsidRPr="00D21FBF" w:rsidRDefault="00047E24" w:rsidP="00C60DDF">
      <w:pPr>
        <w:spacing w:after="0"/>
        <w:rPr>
          <w:rFonts w:cstheme="minorHAnsi"/>
        </w:rPr>
      </w:pPr>
    </w:p>
    <w:p w14:paraId="0FE33234" w14:textId="77777777" w:rsidR="00047E24" w:rsidRPr="00D21FBF" w:rsidRDefault="001E74C8" w:rsidP="00C60DDF">
      <w:pPr>
        <w:pStyle w:val="ListParagraph"/>
        <w:numPr>
          <w:ilvl w:val="0"/>
          <w:numId w:val="1"/>
        </w:numPr>
        <w:spacing w:after="0"/>
        <w:rPr>
          <w:rFonts w:cstheme="minorHAnsi"/>
        </w:rPr>
      </w:pPr>
      <w:r w:rsidRPr="00D21FBF">
        <w:rPr>
          <w:rFonts w:cstheme="minorHAnsi"/>
          <w:b/>
        </w:rPr>
        <w:t>Each unit d</w:t>
      </w:r>
      <w:r w:rsidR="00047E24" w:rsidRPr="00D21FBF">
        <w:rPr>
          <w:rFonts w:cstheme="minorHAnsi"/>
          <w:b/>
        </w:rPr>
        <w:t xml:space="preserve">efines </w:t>
      </w:r>
      <w:r w:rsidR="00394412" w:rsidRPr="00D21FBF">
        <w:rPr>
          <w:rFonts w:cstheme="minorHAnsi"/>
          <w:b/>
        </w:rPr>
        <w:t xml:space="preserve">at least one </w:t>
      </w:r>
      <w:r w:rsidR="00047E24" w:rsidRPr="00D21FBF">
        <w:rPr>
          <w:rFonts w:cstheme="minorHAnsi"/>
          <w:b/>
        </w:rPr>
        <w:t>intended objective/outcome f</w:t>
      </w:r>
      <w:r w:rsidR="003E450E" w:rsidRPr="00D21FBF">
        <w:rPr>
          <w:rFonts w:cstheme="minorHAnsi"/>
          <w:b/>
        </w:rPr>
        <w:t>or each unit-level goal</w:t>
      </w:r>
      <w:r w:rsidR="006B3C6A" w:rsidRPr="00D21FBF">
        <w:rPr>
          <w:rFonts w:cstheme="minorHAnsi"/>
          <w:b/>
        </w:rPr>
        <w:t>.</w:t>
      </w:r>
      <w:r w:rsidR="00AA121D" w:rsidRPr="00D21FBF">
        <w:rPr>
          <w:rFonts w:cstheme="minorHAnsi"/>
        </w:rPr>
        <w:t xml:space="preserve"> </w:t>
      </w:r>
      <w:r w:rsidR="003E450E" w:rsidRPr="00D21FBF">
        <w:rPr>
          <w:rFonts w:cstheme="minorHAnsi"/>
        </w:rPr>
        <w:t xml:space="preserve">Each </w:t>
      </w:r>
      <w:r w:rsidR="00047E24" w:rsidRPr="00D21FBF">
        <w:rPr>
          <w:rFonts w:cstheme="minorHAnsi"/>
        </w:rPr>
        <w:t>objective/</w:t>
      </w:r>
      <w:r w:rsidR="003E450E" w:rsidRPr="00D21FBF">
        <w:rPr>
          <w:rFonts w:cstheme="minorHAnsi"/>
        </w:rPr>
        <w:t xml:space="preserve">outcome should include a targeted threshold to be achieved by the end </w:t>
      </w:r>
      <w:r w:rsidR="00164EBB">
        <w:rPr>
          <w:rFonts w:cstheme="minorHAnsi"/>
        </w:rPr>
        <w:t xml:space="preserve">of the </w:t>
      </w:r>
      <w:r w:rsidR="00047E24" w:rsidRPr="00D21FBF">
        <w:rPr>
          <w:rFonts w:cstheme="minorHAnsi"/>
        </w:rPr>
        <w:t>five</w:t>
      </w:r>
      <w:r w:rsidR="00164EBB">
        <w:rPr>
          <w:rFonts w:cstheme="minorHAnsi"/>
        </w:rPr>
        <w:t>-</w:t>
      </w:r>
      <w:r w:rsidR="00047E24" w:rsidRPr="00D21FBF">
        <w:rPr>
          <w:rFonts w:cstheme="minorHAnsi"/>
        </w:rPr>
        <w:t xml:space="preserve"> year period</w:t>
      </w:r>
      <w:r w:rsidRPr="00D21FBF">
        <w:rPr>
          <w:rFonts w:cstheme="minorHAnsi"/>
        </w:rPr>
        <w:t xml:space="preserve"> (assessment cycle) </w:t>
      </w:r>
      <w:r w:rsidR="006B3C6A" w:rsidRPr="00D21FBF">
        <w:rPr>
          <w:rFonts w:cstheme="minorHAnsi"/>
        </w:rPr>
        <w:t>as well as several strategies designed to achieve the objective/outcome.</w:t>
      </w:r>
    </w:p>
    <w:p w14:paraId="1A09AB84" w14:textId="77777777" w:rsidR="00C60DDF" w:rsidRPr="00D21FBF" w:rsidRDefault="00C60DDF" w:rsidP="00C60DDF">
      <w:pPr>
        <w:spacing w:after="0"/>
        <w:ind w:left="1080"/>
        <w:rPr>
          <w:rFonts w:cstheme="minorHAnsi"/>
          <w:bCs/>
        </w:rPr>
      </w:pPr>
    </w:p>
    <w:p w14:paraId="0005AA65" w14:textId="77777777" w:rsidR="00047E24" w:rsidRPr="000B06B3" w:rsidRDefault="00047E24" w:rsidP="00C60DDF">
      <w:pPr>
        <w:spacing w:after="0"/>
        <w:ind w:left="1080"/>
        <w:rPr>
          <w:rFonts w:cstheme="minorHAnsi"/>
        </w:rPr>
      </w:pPr>
      <w:r w:rsidRPr="00D21FBF">
        <w:rPr>
          <w:rFonts w:cstheme="minorHAnsi"/>
          <w:b/>
          <w:bCs/>
        </w:rPr>
        <w:t>Objectives (Administrative Units)</w:t>
      </w:r>
      <w:r w:rsidR="00C60DDF" w:rsidRPr="00D21FBF">
        <w:rPr>
          <w:rFonts w:cstheme="minorHAnsi"/>
          <w:b/>
          <w:bCs/>
        </w:rPr>
        <w:t xml:space="preserve"> </w:t>
      </w:r>
      <w:r w:rsidRPr="00D21FBF">
        <w:rPr>
          <w:rFonts w:cstheme="minorHAnsi"/>
        </w:rPr>
        <w:t>Objectives are measurable statements that describe the expected</w:t>
      </w:r>
      <w:r w:rsidRPr="000B06B3">
        <w:rPr>
          <w:rFonts w:cstheme="minorHAnsi"/>
        </w:rPr>
        <w:t xml:space="preserve"> or intended quality relative to timeliness, responsiveness, accuracy, etc. Objectives often describe how well a unit intends to function or improve its functioning or the services provided. The important question in this section is: “What is the office trying to accomplish?”</w:t>
      </w:r>
      <w:r w:rsidR="006B3C6A" w:rsidRPr="000B06B3">
        <w:rPr>
          <w:rFonts w:cstheme="minorHAnsi"/>
        </w:rPr>
        <w:t xml:space="preserve">  </w:t>
      </w:r>
      <w:r w:rsidRPr="000B06B3">
        <w:rPr>
          <w:rFonts w:cstheme="minorHAnsi"/>
        </w:rPr>
        <w:t>Client satisfaction is the most common type of administrative outcome/objective. Less common, but equally acceptable administrative outcomes/objectives are those that focus on the abilities of clients once services have been provided (e.g., staff’s ability to process a requisition after training has been provided).</w:t>
      </w:r>
    </w:p>
    <w:p w14:paraId="74668415" w14:textId="77777777" w:rsidR="00047E24" w:rsidRPr="000B06B3" w:rsidRDefault="00047E24" w:rsidP="00C60DDF">
      <w:pPr>
        <w:pStyle w:val="ListParagraph"/>
        <w:autoSpaceDE w:val="0"/>
        <w:autoSpaceDN w:val="0"/>
        <w:adjustRightInd w:val="0"/>
        <w:spacing w:after="0" w:line="240" w:lineRule="auto"/>
        <w:ind w:left="1440"/>
        <w:rPr>
          <w:rFonts w:cstheme="minorHAnsi"/>
        </w:rPr>
      </w:pPr>
    </w:p>
    <w:p w14:paraId="1BE61DF5" w14:textId="77777777" w:rsidR="00047E24" w:rsidRPr="000B06B3" w:rsidRDefault="00047E24" w:rsidP="00C60DDF">
      <w:pPr>
        <w:pStyle w:val="ListParagraph"/>
        <w:autoSpaceDE w:val="0"/>
        <w:autoSpaceDN w:val="0"/>
        <w:adjustRightInd w:val="0"/>
        <w:spacing w:after="0" w:line="240" w:lineRule="auto"/>
        <w:ind w:left="1440"/>
        <w:rPr>
          <w:rFonts w:cstheme="minorHAnsi"/>
        </w:rPr>
      </w:pPr>
      <w:r w:rsidRPr="000B06B3">
        <w:rPr>
          <w:rFonts w:cstheme="minorHAnsi"/>
        </w:rPr>
        <w:t>Administrative-level objectives must be:</w:t>
      </w:r>
    </w:p>
    <w:p w14:paraId="6617F8DF" w14:textId="77777777" w:rsidR="00047E24" w:rsidRPr="000B06B3" w:rsidRDefault="00047E24" w:rsidP="00C60DDF">
      <w:pPr>
        <w:pStyle w:val="ListParagraph"/>
        <w:numPr>
          <w:ilvl w:val="0"/>
          <w:numId w:val="3"/>
        </w:numPr>
        <w:autoSpaceDE w:val="0"/>
        <w:autoSpaceDN w:val="0"/>
        <w:adjustRightInd w:val="0"/>
        <w:spacing w:after="0" w:line="240" w:lineRule="auto"/>
        <w:ind w:left="2160"/>
        <w:rPr>
          <w:rFonts w:cstheme="minorHAnsi"/>
        </w:rPr>
      </w:pPr>
      <w:r w:rsidRPr="000B06B3">
        <w:rPr>
          <w:rFonts w:cstheme="minorHAnsi"/>
        </w:rPr>
        <w:t>Linked to the university goals and mission statement</w:t>
      </w:r>
    </w:p>
    <w:p w14:paraId="40B37E0B" w14:textId="77777777" w:rsidR="00047E24" w:rsidRPr="000B06B3" w:rsidRDefault="00047E24" w:rsidP="00C60DDF">
      <w:pPr>
        <w:pStyle w:val="ListParagraph"/>
        <w:numPr>
          <w:ilvl w:val="0"/>
          <w:numId w:val="3"/>
        </w:numPr>
        <w:autoSpaceDE w:val="0"/>
        <w:autoSpaceDN w:val="0"/>
        <w:adjustRightInd w:val="0"/>
        <w:spacing w:after="0" w:line="240" w:lineRule="auto"/>
        <w:ind w:left="2160"/>
        <w:rPr>
          <w:rFonts w:cstheme="minorHAnsi"/>
        </w:rPr>
      </w:pPr>
      <w:r w:rsidRPr="000B06B3">
        <w:rPr>
          <w:rFonts w:cstheme="minorHAnsi"/>
        </w:rPr>
        <w:lastRenderedPageBreak/>
        <w:t>Realistic in terms of the resources and support currently available within the unit</w:t>
      </w:r>
    </w:p>
    <w:p w14:paraId="40F74F93" w14:textId="77777777" w:rsidR="00047E24" w:rsidRPr="000B06B3" w:rsidRDefault="00047E24" w:rsidP="00C60DDF">
      <w:pPr>
        <w:pStyle w:val="ListParagraph"/>
        <w:numPr>
          <w:ilvl w:val="0"/>
          <w:numId w:val="3"/>
        </w:numPr>
        <w:autoSpaceDE w:val="0"/>
        <w:autoSpaceDN w:val="0"/>
        <w:adjustRightInd w:val="0"/>
        <w:spacing w:after="0" w:line="240" w:lineRule="auto"/>
        <w:ind w:left="2160"/>
        <w:rPr>
          <w:rFonts w:cstheme="minorHAnsi"/>
        </w:rPr>
      </w:pPr>
      <w:r w:rsidRPr="000B06B3">
        <w:rPr>
          <w:rFonts w:cstheme="minorHAnsi"/>
        </w:rPr>
        <w:t>Measurable – feasible to collect accurate quantitative and/or qualitative data usable for making improvements to process or unit</w:t>
      </w:r>
    </w:p>
    <w:p w14:paraId="6AB4A399" w14:textId="77777777" w:rsidR="00047E24" w:rsidRPr="000B06B3" w:rsidRDefault="00047E24" w:rsidP="00C60DDF">
      <w:pPr>
        <w:pStyle w:val="ListParagraph"/>
        <w:autoSpaceDE w:val="0"/>
        <w:autoSpaceDN w:val="0"/>
        <w:adjustRightInd w:val="0"/>
        <w:spacing w:after="0" w:line="240" w:lineRule="auto"/>
        <w:ind w:left="1440"/>
        <w:rPr>
          <w:rFonts w:cstheme="minorHAnsi"/>
        </w:rPr>
      </w:pPr>
    </w:p>
    <w:p w14:paraId="2EF525AF" w14:textId="77777777" w:rsidR="001E74C8" w:rsidRDefault="00047E24" w:rsidP="00C60DDF">
      <w:pPr>
        <w:pStyle w:val="ListParagraph"/>
        <w:autoSpaceDE w:val="0"/>
        <w:autoSpaceDN w:val="0"/>
        <w:adjustRightInd w:val="0"/>
        <w:spacing w:after="0" w:line="240" w:lineRule="auto"/>
        <w:ind w:left="1440"/>
        <w:rPr>
          <w:rFonts w:cstheme="minorHAnsi"/>
        </w:rPr>
      </w:pPr>
      <w:r w:rsidRPr="000B06B3">
        <w:rPr>
          <w:rFonts w:cstheme="minorHAnsi"/>
        </w:rPr>
        <w:t xml:space="preserve">Example of administrative objective: </w:t>
      </w:r>
    </w:p>
    <w:p w14:paraId="0DB38325" w14:textId="77777777" w:rsidR="00047E24" w:rsidRPr="000B06B3" w:rsidRDefault="00047E24" w:rsidP="00C60DDF">
      <w:pPr>
        <w:pStyle w:val="ListParagraph"/>
        <w:autoSpaceDE w:val="0"/>
        <w:autoSpaceDN w:val="0"/>
        <w:adjustRightInd w:val="0"/>
        <w:spacing w:after="0" w:line="240" w:lineRule="auto"/>
        <w:ind w:left="1440"/>
        <w:rPr>
          <w:rFonts w:cstheme="minorHAnsi"/>
        </w:rPr>
      </w:pPr>
      <w:r w:rsidRPr="000B06B3">
        <w:rPr>
          <w:rFonts w:cstheme="minorHAnsi"/>
        </w:rPr>
        <w:t xml:space="preserve">“Expand use of purchasing cards (P-Card) for </w:t>
      </w:r>
      <w:r w:rsidR="00183B38" w:rsidRPr="000B06B3">
        <w:rPr>
          <w:rFonts w:cstheme="minorHAnsi"/>
        </w:rPr>
        <w:t>c</w:t>
      </w:r>
      <w:r w:rsidRPr="000B06B3">
        <w:rPr>
          <w:rFonts w:cstheme="minorHAnsi"/>
        </w:rPr>
        <w:t>ommodities and services utilized by the university”</w:t>
      </w:r>
    </w:p>
    <w:p w14:paraId="3ABACA61" w14:textId="77777777" w:rsidR="00047E24" w:rsidRPr="000B06B3" w:rsidRDefault="00047E24" w:rsidP="00C60DDF">
      <w:pPr>
        <w:autoSpaceDE w:val="0"/>
        <w:autoSpaceDN w:val="0"/>
        <w:adjustRightInd w:val="0"/>
        <w:spacing w:after="0" w:line="240" w:lineRule="auto"/>
        <w:ind w:left="1080"/>
        <w:rPr>
          <w:rFonts w:cstheme="minorHAnsi"/>
          <w:b/>
          <w:bCs/>
        </w:rPr>
      </w:pPr>
    </w:p>
    <w:p w14:paraId="2AF2BDF6" w14:textId="77777777" w:rsidR="00047E24" w:rsidRPr="000B06B3" w:rsidRDefault="00183B38" w:rsidP="00C60DDF">
      <w:pPr>
        <w:autoSpaceDE w:val="0"/>
        <w:autoSpaceDN w:val="0"/>
        <w:adjustRightInd w:val="0"/>
        <w:spacing w:after="0" w:line="240" w:lineRule="auto"/>
        <w:ind w:left="1080"/>
        <w:rPr>
          <w:rFonts w:cstheme="minorHAnsi"/>
        </w:rPr>
      </w:pPr>
      <w:r w:rsidRPr="000B06B3">
        <w:rPr>
          <w:rFonts w:cstheme="minorHAnsi"/>
          <w:b/>
          <w:bCs/>
        </w:rPr>
        <w:t xml:space="preserve">Student </w:t>
      </w:r>
      <w:r w:rsidR="00047E24" w:rsidRPr="000B06B3">
        <w:rPr>
          <w:rFonts w:cstheme="minorHAnsi"/>
          <w:b/>
          <w:bCs/>
        </w:rPr>
        <w:t>Learning Outcomes (Educational Support Units)</w:t>
      </w:r>
      <w:r w:rsidR="00C60DDF">
        <w:rPr>
          <w:rFonts w:cstheme="minorHAnsi"/>
          <w:b/>
          <w:bCs/>
        </w:rPr>
        <w:t xml:space="preserve"> </w:t>
      </w:r>
      <w:r w:rsidR="00047E24" w:rsidRPr="000B06B3">
        <w:rPr>
          <w:rFonts w:cstheme="minorHAnsi"/>
        </w:rPr>
        <w:t>Student learning outcomes are statements that target the intended knowledge, abilities, values and attitudes students are meant to be able to demonstrate after participating in a given activity and/or after using services within an educational support unit.</w:t>
      </w:r>
      <w:r w:rsidR="006B3C6A" w:rsidRPr="000B06B3">
        <w:rPr>
          <w:rFonts w:cstheme="minorHAnsi"/>
        </w:rPr>
        <w:t xml:space="preserve">  </w:t>
      </w:r>
      <w:r w:rsidR="00047E24" w:rsidRPr="000B06B3">
        <w:rPr>
          <w:rFonts w:cstheme="minorHAnsi"/>
        </w:rPr>
        <w:t>Student learning outcomes must be specific to the unit and measurable.</w:t>
      </w:r>
    </w:p>
    <w:p w14:paraId="3D6E4E39" w14:textId="77777777" w:rsidR="006B3C6A" w:rsidRPr="000B06B3" w:rsidRDefault="006B3C6A" w:rsidP="00C60DDF">
      <w:pPr>
        <w:pStyle w:val="ListParagraph"/>
        <w:autoSpaceDE w:val="0"/>
        <w:autoSpaceDN w:val="0"/>
        <w:adjustRightInd w:val="0"/>
        <w:spacing w:after="0" w:line="240" w:lineRule="auto"/>
        <w:ind w:left="1440"/>
        <w:rPr>
          <w:rFonts w:cstheme="minorHAnsi"/>
        </w:rPr>
      </w:pPr>
    </w:p>
    <w:p w14:paraId="4BBBC1F7" w14:textId="77777777" w:rsidR="006B3C6A" w:rsidRPr="000B06B3" w:rsidRDefault="00047E24" w:rsidP="00C60DDF">
      <w:pPr>
        <w:pStyle w:val="ListParagraph"/>
        <w:autoSpaceDE w:val="0"/>
        <w:autoSpaceDN w:val="0"/>
        <w:adjustRightInd w:val="0"/>
        <w:spacing w:after="0" w:line="240" w:lineRule="auto"/>
        <w:ind w:left="1440"/>
        <w:rPr>
          <w:rFonts w:cstheme="minorHAnsi"/>
        </w:rPr>
      </w:pPr>
      <w:r w:rsidRPr="000B06B3">
        <w:rPr>
          <w:rFonts w:cstheme="minorHAnsi"/>
        </w:rPr>
        <w:t>Example of a student learning outcome:</w:t>
      </w:r>
    </w:p>
    <w:p w14:paraId="7D0CF1B9" w14:textId="77777777" w:rsidR="00047E24" w:rsidRPr="000B06B3" w:rsidRDefault="00047E24" w:rsidP="00C60DDF">
      <w:pPr>
        <w:pStyle w:val="ListParagraph"/>
        <w:autoSpaceDE w:val="0"/>
        <w:autoSpaceDN w:val="0"/>
        <w:adjustRightInd w:val="0"/>
        <w:spacing w:after="0" w:line="240" w:lineRule="auto"/>
        <w:ind w:left="2160"/>
        <w:rPr>
          <w:rFonts w:cstheme="minorHAnsi"/>
        </w:rPr>
      </w:pPr>
      <w:r w:rsidRPr="000B06B3">
        <w:rPr>
          <w:rFonts w:cstheme="minorHAnsi"/>
        </w:rPr>
        <w:t xml:space="preserve"> “Students participating in Learning Communities will</w:t>
      </w:r>
      <w:r w:rsidR="00183B38" w:rsidRPr="000B06B3">
        <w:rPr>
          <w:rFonts w:cstheme="minorHAnsi"/>
        </w:rPr>
        <w:t xml:space="preserve"> </w:t>
      </w:r>
      <w:r w:rsidRPr="000B06B3">
        <w:rPr>
          <w:rFonts w:cstheme="minorHAnsi"/>
        </w:rPr>
        <w:t>express higher levels of personal interaction and satisfaction with the learning environment in the residence halls than other resident students”</w:t>
      </w:r>
    </w:p>
    <w:p w14:paraId="74A253F8" w14:textId="77777777" w:rsidR="00047E24" w:rsidRPr="000B06B3" w:rsidRDefault="00047E24" w:rsidP="00C60DDF">
      <w:pPr>
        <w:pStyle w:val="ListParagraph"/>
        <w:spacing w:after="0"/>
        <w:ind w:left="1440"/>
        <w:rPr>
          <w:rFonts w:cstheme="minorHAnsi"/>
        </w:rPr>
      </w:pPr>
    </w:p>
    <w:p w14:paraId="127C4469" w14:textId="77777777" w:rsidR="004A4B7D" w:rsidRPr="000B06B3" w:rsidRDefault="001E74C8" w:rsidP="00C60DDF">
      <w:pPr>
        <w:pStyle w:val="ListParagraph"/>
        <w:numPr>
          <w:ilvl w:val="0"/>
          <w:numId w:val="1"/>
        </w:numPr>
        <w:autoSpaceDE w:val="0"/>
        <w:autoSpaceDN w:val="0"/>
        <w:adjustRightInd w:val="0"/>
        <w:spacing w:after="0" w:line="240" w:lineRule="auto"/>
        <w:rPr>
          <w:rFonts w:cstheme="minorHAnsi"/>
        </w:rPr>
      </w:pPr>
      <w:r>
        <w:rPr>
          <w:rFonts w:cstheme="minorHAnsi"/>
          <w:b/>
          <w:bCs/>
        </w:rPr>
        <w:t>Each unit i</w:t>
      </w:r>
      <w:r w:rsidR="004A4B7D" w:rsidRPr="000B06B3">
        <w:rPr>
          <w:rFonts w:cstheme="minorHAnsi"/>
          <w:b/>
          <w:bCs/>
        </w:rPr>
        <w:t>dentif</w:t>
      </w:r>
      <w:r>
        <w:rPr>
          <w:rFonts w:cstheme="minorHAnsi"/>
          <w:b/>
          <w:bCs/>
        </w:rPr>
        <w:t xml:space="preserve">ies </w:t>
      </w:r>
      <w:r w:rsidR="00394412">
        <w:rPr>
          <w:rFonts w:cstheme="minorHAnsi"/>
          <w:b/>
          <w:bCs/>
        </w:rPr>
        <w:t xml:space="preserve">two different </w:t>
      </w:r>
      <w:r>
        <w:rPr>
          <w:rFonts w:cstheme="minorHAnsi"/>
          <w:b/>
          <w:bCs/>
        </w:rPr>
        <w:t>measures</w:t>
      </w:r>
      <w:r w:rsidR="00394412">
        <w:rPr>
          <w:rFonts w:cstheme="minorHAnsi"/>
          <w:b/>
          <w:bCs/>
        </w:rPr>
        <w:t xml:space="preserve"> and </w:t>
      </w:r>
      <w:r>
        <w:rPr>
          <w:rFonts w:cstheme="minorHAnsi"/>
          <w:b/>
          <w:bCs/>
        </w:rPr>
        <w:t>p</w:t>
      </w:r>
      <w:r w:rsidR="004A4B7D" w:rsidRPr="000B06B3">
        <w:rPr>
          <w:rFonts w:cstheme="minorHAnsi"/>
          <w:b/>
          <w:bCs/>
        </w:rPr>
        <w:t xml:space="preserve">erformance </w:t>
      </w:r>
      <w:r>
        <w:rPr>
          <w:rFonts w:cstheme="minorHAnsi"/>
          <w:b/>
          <w:bCs/>
        </w:rPr>
        <w:t>t</w:t>
      </w:r>
      <w:r w:rsidR="004A4B7D" w:rsidRPr="000B06B3">
        <w:rPr>
          <w:rFonts w:cstheme="minorHAnsi"/>
          <w:b/>
          <w:bCs/>
        </w:rPr>
        <w:t>argets</w:t>
      </w:r>
      <w:r>
        <w:rPr>
          <w:rFonts w:cstheme="minorHAnsi"/>
          <w:b/>
          <w:bCs/>
        </w:rPr>
        <w:t xml:space="preserve"> related to each objective/outcome.</w:t>
      </w:r>
    </w:p>
    <w:p w14:paraId="4459389A" w14:textId="77777777" w:rsidR="004A4B7D" w:rsidRPr="000B06B3" w:rsidRDefault="004A4B7D" w:rsidP="00C60DDF">
      <w:pPr>
        <w:pStyle w:val="ListParagraph"/>
        <w:autoSpaceDE w:val="0"/>
        <w:autoSpaceDN w:val="0"/>
        <w:adjustRightInd w:val="0"/>
        <w:spacing w:after="0" w:line="240" w:lineRule="auto"/>
        <w:rPr>
          <w:rFonts w:cstheme="minorHAnsi"/>
        </w:rPr>
      </w:pPr>
    </w:p>
    <w:p w14:paraId="2DDD3839" w14:textId="77777777" w:rsidR="004A4B7D" w:rsidRPr="001E74C8" w:rsidRDefault="004A4B7D" w:rsidP="00C60DDF">
      <w:pPr>
        <w:pStyle w:val="ListParagraph"/>
        <w:autoSpaceDE w:val="0"/>
        <w:autoSpaceDN w:val="0"/>
        <w:adjustRightInd w:val="0"/>
        <w:spacing w:after="0" w:line="240" w:lineRule="auto"/>
        <w:rPr>
          <w:rFonts w:cstheme="minorHAnsi"/>
        </w:rPr>
      </w:pPr>
      <w:r w:rsidRPr="001E74C8">
        <w:rPr>
          <w:rFonts w:cstheme="minorHAnsi"/>
          <w:bCs/>
        </w:rPr>
        <w:t xml:space="preserve">Measures refer to the methods used by the unit to assess the unit’s success in reaching its objectives, </w:t>
      </w:r>
      <w:r w:rsidR="00183B38" w:rsidRPr="001E74C8">
        <w:rPr>
          <w:rFonts w:cstheme="minorHAnsi"/>
        </w:rPr>
        <w:t xml:space="preserve">(e.g. surveys, focus groups). </w:t>
      </w:r>
      <w:r w:rsidR="00394412">
        <w:rPr>
          <w:rFonts w:cstheme="minorHAnsi"/>
        </w:rPr>
        <w:t xml:space="preserve">  </w:t>
      </w:r>
      <w:r w:rsidR="00183B38" w:rsidRPr="001E74C8">
        <w:rPr>
          <w:rFonts w:cstheme="minorHAnsi"/>
        </w:rPr>
        <w:t>“Performance Target</w:t>
      </w:r>
      <w:r w:rsidRPr="001E74C8">
        <w:rPr>
          <w:rFonts w:cstheme="minorHAnsi"/>
        </w:rPr>
        <w:t>s</w:t>
      </w:r>
      <w:r w:rsidR="00183B38" w:rsidRPr="001E74C8">
        <w:rPr>
          <w:rFonts w:cstheme="minorHAnsi"/>
        </w:rPr>
        <w:t xml:space="preserve">” refer to how </w:t>
      </w:r>
      <w:r w:rsidRPr="001E74C8">
        <w:rPr>
          <w:rFonts w:cstheme="minorHAnsi"/>
        </w:rPr>
        <w:t>the unit</w:t>
      </w:r>
      <w:r w:rsidR="00183B38" w:rsidRPr="001E74C8">
        <w:rPr>
          <w:rFonts w:cstheme="minorHAnsi"/>
        </w:rPr>
        <w:t xml:space="preserve"> define</w:t>
      </w:r>
      <w:r w:rsidRPr="001E74C8">
        <w:rPr>
          <w:rFonts w:cstheme="minorHAnsi"/>
        </w:rPr>
        <w:t>s</w:t>
      </w:r>
      <w:r w:rsidR="00183B38" w:rsidRPr="001E74C8">
        <w:rPr>
          <w:rFonts w:cstheme="minorHAnsi"/>
        </w:rPr>
        <w:t xml:space="preserve"> success based on the defined objectives. It is important that the methods chosen enable the unit to evaluate its effectiveness in terms of services offered.</w:t>
      </w:r>
      <w:r w:rsidR="00EE2B67">
        <w:rPr>
          <w:rFonts w:cstheme="minorHAnsi"/>
        </w:rPr>
        <w:t xml:space="preserve"> </w:t>
      </w:r>
      <w:r w:rsidR="00FB3C34" w:rsidRPr="00C60DDF">
        <w:rPr>
          <w:rFonts w:cstheme="minorHAnsi"/>
          <w:i/>
        </w:rPr>
        <w:t>Multiple measures</w:t>
      </w:r>
      <w:r w:rsidR="00C60DDF">
        <w:rPr>
          <w:rFonts w:cstheme="minorHAnsi"/>
          <w:i/>
        </w:rPr>
        <w:t xml:space="preserve"> (at least two)</w:t>
      </w:r>
      <w:r w:rsidR="00FB3C34" w:rsidRPr="00C60DDF">
        <w:rPr>
          <w:rFonts w:cstheme="minorHAnsi"/>
          <w:i/>
        </w:rPr>
        <w:t xml:space="preserve"> must be identified that will be collected to determine the achievement of each objective/outcome during the review period</w:t>
      </w:r>
      <w:r w:rsidR="00C60DDF">
        <w:rPr>
          <w:rFonts w:cstheme="minorHAnsi"/>
          <w:i/>
        </w:rPr>
        <w:t>.</w:t>
      </w:r>
      <w:r w:rsidR="00EE2B67" w:rsidRPr="00C60DDF">
        <w:rPr>
          <w:rFonts w:cstheme="minorHAnsi"/>
          <w:i/>
        </w:rPr>
        <w:t xml:space="preserve"> Data must be collected at least twice for each measure during the assessment cycle</w:t>
      </w:r>
      <w:r w:rsidR="00C60DDF">
        <w:rPr>
          <w:rFonts w:cstheme="minorHAnsi"/>
          <w:i/>
        </w:rPr>
        <w:t xml:space="preserve"> and some data and analysis must occur annually</w:t>
      </w:r>
      <w:r w:rsidR="00EE2B67" w:rsidRPr="00C60DDF">
        <w:rPr>
          <w:rFonts w:cstheme="minorHAnsi"/>
          <w:i/>
        </w:rPr>
        <w:t>.</w:t>
      </w:r>
      <w:r w:rsidR="00183B38" w:rsidRPr="00C60DDF">
        <w:rPr>
          <w:rFonts w:cstheme="minorHAnsi"/>
          <w:i/>
        </w:rPr>
        <w:t xml:space="preserve"> </w:t>
      </w:r>
      <w:r w:rsidR="00183B38" w:rsidRPr="001E74C8">
        <w:rPr>
          <w:rFonts w:cstheme="minorHAnsi"/>
        </w:rPr>
        <w:t>A primary objective of assessment is to illuminate strengths and weaknesses in</w:t>
      </w:r>
      <w:r w:rsidR="006B3C6A" w:rsidRPr="001E74C8">
        <w:rPr>
          <w:rFonts w:cstheme="minorHAnsi"/>
        </w:rPr>
        <w:t xml:space="preserve"> the </w:t>
      </w:r>
      <w:r w:rsidR="00183B38" w:rsidRPr="001E74C8">
        <w:rPr>
          <w:rFonts w:cstheme="minorHAnsi"/>
        </w:rPr>
        <w:t xml:space="preserve">unit </w:t>
      </w:r>
      <w:r w:rsidRPr="001E74C8">
        <w:rPr>
          <w:rFonts w:cstheme="minorHAnsi"/>
        </w:rPr>
        <w:t xml:space="preserve">to </w:t>
      </w:r>
      <w:r w:rsidR="00183B38" w:rsidRPr="001E74C8">
        <w:rPr>
          <w:rFonts w:cstheme="minorHAnsi"/>
        </w:rPr>
        <w:t>lead to improvement.</w:t>
      </w:r>
    </w:p>
    <w:p w14:paraId="1AC2B91A" w14:textId="77777777" w:rsidR="004A4B7D" w:rsidRPr="001E74C8" w:rsidRDefault="004A4B7D" w:rsidP="00C60DDF">
      <w:pPr>
        <w:pStyle w:val="ListParagraph"/>
        <w:autoSpaceDE w:val="0"/>
        <w:autoSpaceDN w:val="0"/>
        <w:adjustRightInd w:val="0"/>
        <w:spacing w:after="0" w:line="240" w:lineRule="auto"/>
        <w:rPr>
          <w:rFonts w:cstheme="minorHAnsi"/>
        </w:rPr>
      </w:pPr>
    </w:p>
    <w:p w14:paraId="3B43DE7B" w14:textId="77777777" w:rsidR="004A4B7D" w:rsidRPr="000B06B3" w:rsidRDefault="00183B38" w:rsidP="00C60DDF">
      <w:pPr>
        <w:pStyle w:val="ListParagraph"/>
        <w:autoSpaceDE w:val="0"/>
        <w:autoSpaceDN w:val="0"/>
        <w:adjustRightInd w:val="0"/>
        <w:spacing w:after="0" w:line="240" w:lineRule="auto"/>
        <w:rPr>
          <w:rFonts w:cstheme="minorHAnsi"/>
        </w:rPr>
      </w:pPr>
      <w:r w:rsidRPr="000B06B3">
        <w:rPr>
          <w:rFonts w:cstheme="minorHAnsi"/>
        </w:rPr>
        <w:t>Examples of Me</w:t>
      </w:r>
      <w:r w:rsidR="004A4B7D" w:rsidRPr="000B06B3">
        <w:rPr>
          <w:rFonts w:cstheme="minorHAnsi"/>
        </w:rPr>
        <w:t>asure</w:t>
      </w:r>
      <w:r w:rsidRPr="000B06B3">
        <w:rPr>
          <w:rFonts w:cstheme="minorHAnsi"/>
        </w:rPr>
        <w:t xml:space="preserve"> and Performance Target (Administrative Units):</w:t>
      </w:r>
    </w:p>
    <w:p w14:paraId="35BAEBD3" w14:textId="77777777" w:rsidR="00183B38" w:rsidRPr="000B06B3" w:rsidRDefault="004A4B7D" w:rsidP="00C60DDF">
      <w:pPr>
        <w:pStyle w:val="ListParagraph"/>
        <w:autoSpaceDE w:val="0"/>
        <w:autoSpaceDN w:val="0"/>
        <w:adjustRightInd w:val="0"/>
        <w:spacing w:after="0" w:line="240" w:lineRule="auto"/>
        <w:ind w:left="1440"/>
        <w:rPr>
          <w:rFonts w:cstheme="minorHAnsi"/>
        </w:rPr>
      </w:pPr>
      <w:r w:rsidRPr="000B06B3">
        <w:rPr>
          <w:rFonts w:cstheme="minorHAnsi"/>
        </w:rPr>
        <w:t>“</w:t>
      </w:r>
      <w:r w:rsidR="00183B38" w:rsidRPr="000B06B3">
        <w:rPr>
          <w:rFonts w:cstheme="minorHAnsi"/>
        </w:rPr>
        <w:t>Comparison of this year’s spending with last year’s spending”</w:t>
      </w:r>
    </w:p>
    <w:p w14:paraId="5EF5E101" w14:textId="77777777" w:rsidR="00183B38" w:rsidRPr="000B06B3" w:rsidRDefault="00183B38" w:rsidP="00C60DDF">
      <w:pPr>
        <w:pStyle w:val="ListParagraph"/>
        <w:autoSpaceDE w:val="0"/>
        <w:autoSpaceDN w:val="0"/>
        <w:adjustRightInd w:val="0"/>
        <w:spacing w:after="0" w:line="240" w:lineRule="auto"/>
        <w:ind w:left="1440"/>
        <w:rPr>
          <w:rFonts w:cstheme="minorHAnsi"/>
        </w:rPr>
      </w:pPr>
      <w:r w:rsidRPr="000B06B3">
        <w:rPr>
          <w:rFonts w:cstheme="minorHAnsi"/>
        </w:rPr>
        <w:t xml:space="preserve"> “Customer satisfaction survey will indicate that more than 80% (15% more than last year) of</w:t>
      </w:r>
      <w:r w:rsidR="004A4B7D" w:rsidRPr="000B06B3">
        <w:rPr>
          <w:rFonts w:cstheme="minorHAnsi"/>
        </w:rPr>
        <w:t xml:space="preserve"> </w:t>
      </w:r>
      <w:r w:rsidRPr="000B06B3">
        <w:rPr>
          <w:rFonts w:cstheme="minorHAnsi"/>
        </w:rPr>
        <w:t>respondents are satisfied with our services”</w:t>
      </w:r>
    </w:p>
    <w:p w14:paraId="19C5DE06" w14:textId="77777777" w:rsidR="004A4B7D" w:rsidRPr="000B06B3" w:rsidRDefault="00183B38" w:rsidP="00C60DDF">
      <w:pPr>
        <w:pStyle w:val="ListParagraph"/>
        <w:autoSpaceDE w:val="0"/>
        <w:autoSpaceDN w:val="0"/>
        <w:adjustRightInd w:val="0"/>
        <w:spacing w:after="0" w:line="240" w:lineRule="auto"/>
        <w:ind w:left="1440"/>
        <w:rPr>
          <w:rFonts w:cstheme="minorHAnsi"/>
        </w:rPr>
      </w:pPr>
      <w:r w:rsidRPr="000B06B3">
        <w:rPr>
          <w:rFonts w:cstheme="minorHAnsi"/>
        </w:rPr>
        <w:t xml:space="preserve"> </w:t>
      </w:r>
    </w:p>
    <w:p w14:paraId="56E34CEB" w14:textId="77777777" w:rsidR="00183B38" w:rsidRPr="000B06B3" w:rsidRDefault="00183B38" w:rsidP="00C60DDF">
      <w:pPr>
        <w:pStyle w:val="ListParagraph"/>
        <w:autoSpaceDE w:val="0"/>
        <w:autoSpaceDN w:val="0"/>
        <w:adjustRightInd w:val="0"/>
        <w:spacing w:after="0" w:line="240" w:lineRule="auto"/>
        <w:rPr>
          <w:rFonts w:cstheme="minorHAnsi"/>
        </w:rPr>
      </w:pPr>
      <w:r w:rsidRPr="000B06B3">
        <w:rPr>
          <w:rFonts w:cstheme="minorHAnsi"/>
        </w:rPr>
        <w:t>Examples of Me</w:t>
      </w:r>
      <w:r w:rsidR="004A4B7D" w:rsidRPr="000B06B3">
        <w:rPr>
          <w:rFonts w:cstheme="minorHAnsi"/>
        </w:rPr>
        <w:t xml:space="preserve">asure </w:t>
      </w:r>
      <w:r w:rsidRPr="000B06B3">
        <w:rPr>
          <w:rFonts w:cstheme="minorHAnsi"/>
        </w:rPr>
        <w:t>and Performance Target (Educational Support Units):</w:t>
      </w:r>
    </w:p>
    <w:p w14:paraId="690AAACF" w14:textId="77777777" w:rsidR="00183B38" w:rsidRPr="000B06B3" w:rsidRDefault="00A14973" w:rsidP="00C60DDF">
      <w:pPr>
        <w:pStyle w:val="ListParagraph"/>
        <w:autoSpaceDE w:val="0"/>
        <w:autoSpaceDN w:val="0"/>
        <w:adjustRightInd w:val="0"/>
        <w:spacing w:after="0" w:line="240" w:lineRule="auto"/>
        <w:ind w:left="1440"/>
        <w:rPr>
          <w:rFonts w:cstheme="minorHAnsi"/>
        </w:rPr>
      </w:pPr>
      <w:r w:rsidRPr="000B06B3">
        <w:rPr>
          <w:rFonts w:cstheme="minorHAnsi"/>
        </w:rPr>
        <w:t>“</w:t>
      </w:r>
      <w:r w:rsidR="00183B38" w:rsidRPr="000B06B3">
        <w:rPr>
          <w:rFonts w:cstheme="minorHAnsi"/>
        </w:rPr>
        <w:t xml:space="preserve">Students participating in the </w:t>
      </w:r>
      <w:r w:rsidRPr="000B06B3">
        <w:rPr>
          <w:rFonts w:cstheme="minorHAnsi"/>
        </w:rPr>
        <w:t xml:space="preserve">Freshman Orientation program will complete the summary test and </w:t>
      </w:r>
      <w:r w:rsidR="00183B38" w:rsidRPr="000B06B3">
        <w:rPr>
          <w:rFonts w:cstheme="minorHAnsi"/>
        </w:rPr>
        <w:t>score a mean of 5.5 or</w:t>
      </w:r>
      <w:r w:rsidRPr="000B06B3">
        <w:rPr>
          <w:rFonts w:cstheme="minorHAnsi"/>
        </w:rPr>
        <w:t xml:space="preserve"> </w:t>
      </w:r>
      <w:r w:rsidR="00183B38" w:rsidRPr="000B06B3">
        <w:rPr>
          <w:rFonts w:cstheme="minorHAnsi"/>
        </w:rPr>
        <w:t>above on all questions.”</w:t>
      </w:r>
    </w:p>
    <w:p w14:paraId="5947C66D" w14:textId="77777777" w:rsidR="00183B38" w:rsidRDefault="00183B38" w:rsidP="00C60DDF">
      <w:pPr>
        <w:autoSpaceDE w:val="0"/>
        <w:autoSpaceDN w:val="0"/>
        <w:adjustRightInd w:val="0"/>
        <w:spacing w:after="0" w:line="240" w:lineRule="auto"/>
        <w:ind w:left="1440"/>
        <w:rPr>
          <w:rFonts w:cstheme="minorHAnsi"/>
        </w:rPr>
      </w:pPr>
      <w:r w:rsidRPr="000B06B3">
        <w:rPr>
          <w:rFonts w:cstheme="minorHAnsi"/>
        </w:rPr>
        <w:t>“At least 75% of students responding to the Tunnel of Oppression survey will indicate that the</w:t>
      </w:r>
      <w:r w:rsidR="00A14973" w:rsidRPr="000B06B3">
        <w:rPr>
          <w:rFonts w:cstheme="minorHAnsi"/>
        </w:rPr>
        <w:t xml:space="preserve"> </w:t>
      </w:r>
      <w:r w:rsidRPr="000B06B3">
        <w:rPr>
          <w:rFonts w:cstheme="minorHAnsi"/>
        </w:rPr>
        <w:t>experience changed their thinking about oppression.”</w:t>
      </w:r>
    </w:p>
    <w:p w14:paraId="169F50F7" w14:textId="77777777" w:rsidR="005E7E54" w:rsidRPr="000B06B3" w:rsidRDefault="005E7E54" w:rsidP="00C60DDF">
      <w:pPr>
        <w:autoSpaceDE w:val="0"/>
        <w:autoSpaceDN w:val="0"/>
        <w:adjustRightInd w:val="0"/>
        <w:spacing w:after="0" w:line="240" w:lineRule="auto"/>
        <w:ind w:left="1440"/>
        <w:rPr>
          <w:rFonts w:cstheme="minorHAnsi"/>
        </w:rPr>
      </w:pPr>
    </w:p>
    <w:p w14:paraId="31942DC6" w14:textId="77777777" w:rsidR="003E450E" w:rsidRPr="000B06B3" w:rsidRDefault="003E450E" w:rsidP="00C60DDF">
      <w:pPr>
        <w:spacing w:after="0"/>
        <w:rPr>
          <w:rFonts w:cstheme="minorHAnsi"/>
        </w:rPr>
      </w:pPr>
    </w:p>
    <w:tbl>
      <w:tblPr>
        <w:tblStyle w:val="TableGrid"/>
        <w:tblW w:w="9576" w:type="dxa"/>
        <w:tblLook w:val="04A0" w:firstRow="1" w:lastRow="0" w:firstColumn="1" w:lastColumn="0" w:noHBand="0" w:noVBand="1"/>
      </w:tblPr>
      <w:tblGrid>
        <w:gridCol w:w="2088"/>
        <w:gridCol w:w="2243"/>
        <w:gridCol w:w="2242"/>
        <w:gridCol w:w="1359"/>
        <w:gridCol w:w="1644"/>
      </w:tblGrid>
      <w:tr w:rsidR="00953978" w:rsidRPr="000B06B3" w14:paraId="361089DB" w14:textId="77777777" w:rsidTr="00953978">
        <w:tc>
          <w:tcPr>
            <w:tcW w:w="2088" w:type="dxa"/>
            <w:shd w:val="clear" w:color="auto" w:fill="EEECE1" w:themeFill="background2"/>
          </w:tcPr>
          <w:p w14:paraId="1CACC72B" w14:textId="77777777" w:rsidR="00394412" w:rsidRPr="000B06B3" w:rsidRDefault="00953978" w:rsidP="00C60DDF">
            <w:pPr>
              <w:rPr>
                <w:rFonts w:cstheme="minorHAnsi"/>
              </w:rPr>
            </w:pPr>
            <w:r>
              <w:rPr>
                <w:rFonts w:cstheme="minorHAnsi"/>
              </w:rPr>
              <w:lastRenderedPageBreak/>
              <w:t xml:space="preserve">Unit </w:t>
            </w:r>
            <w:r w:rsidR="00394412" w:rsidRPr="000B06B3">
              <w:rPr>
                <w:rFonts w:cstheme="minorHAnsi"/>
              </w:rPr>
              <w:t>Goals</w:t>
            </w:r>
          </w:p>
        </w:tc>
        <w:tc>
          <w:tcPr>
            <w:tcW w:w="2243" w:type="dxa"/>
            <w:shd w:val="clear" w:color="auto" w:fill="EEECE1" w:themeFill="background2"/>
          </w:tcPr>
          <w:p w14:paraId="2B6185FA" w14:textId="77777777" w:rsidR="00394412" w:rsidRPr="000B06B3" w:rsidRDefault="00953978" w:rsidP="00C60DDF">
            <w:pPr>
              <w:rPr>
                <w:rFonts w:cstheme="minorHAnsi"/>
              </w:rPr>
            </w:pPr>
            <w:r w:rsidRPr="000B06B3">
              <w:rPr>
                <w:rFonts w:cstheme="minorHAnsi"/>
              </w:rPr>
              <w:t xml:space="preserve">Relationship to </w:t>
            </w:r>
            <w:r>
              <w:rPr>
                <w:rFonts w:cstheme="minorHAnsi"/>
              </w:rPr>
              <w:t>Institutional/</w:t>
            </w:r>
            <w:r w:rsidRPr="000B06B3">
              <w:rPr>
                <w:rFonts w:cstheme="minorHAnsi"/>
              </w:rPr>
              <w:t>Divisional</w:t>
            </w:r>
            <w:r>
              <w:rPr>
                <w:rFonts w:cstheme="minorHAnsi"/>
              </w:rPr>
              <w:t xml:space="preserve"> Goals</w:t>
            </w:r>
            <w:r w:rsidRPr="000B06B3">
              <w:rPr>
                <w:rFonts w:cstheme="minorHAnsi"/>
              </w:rPr>
              <w:t xml:space="preserve"> </w:t>
            </w:r>
          </w:p>
        </w:tc>
        <w:tc>
          <w:tcPr>
            <w:tcW w:w="2242" w:type="dxa"/>
            <w:shd w:val="clear" w:color="auto" w:fill="EEECE1" w:themeFill="background2"/>
          </w:tcPr>
          <w:p w14:paraId="575D9AFD" w14:textId="77777777" w:rsidR="00394412" w:rsidRPr="000B06B3" w:rsidRDefault="00953978" w:rsidP="00C60DDF">
            <w:pPr>
              <w:rPr>
                <w:rFonts w:cstheme="minorHAnsi"/>
              </w:rPr>
            </w:pPr>
            <w:r w:rsidRPr="000B06B3">
              <w:rPr>
                <w:rFonts w:cstheme="minorHAnsi"/>
              </w:rPr>
              <w:t>Objectives/</w:t>
            </w:r>
            <w:r>
              <w:rPr>
                <w:rFonts w:cstheme="minorHAnsi"/>
              </w:rPr>
              <w:t>O</w:t>
            </w:r>
            <w:r w:rsidRPr="000B06B3">
              <w:rPr>
                <w:rFonts w:cstheme="minorHAnsi"/>
              </w:rPr>
              <w:t>utcomes With Five Year Performance Targets</w:t>
            </w:r>
          </w:p>
        </w:tc>
        <w:tc>
          <w:tcPr>
            <w:tcW w:w="1359" w:type="dxa"/>
            <w:shd w:val="clear" w:color="auto" w:fill="EEECE1" w:themeFill="background2"/>
          </w:tcPr>
          <w:p w14:paraId="3D0FCD94" w14:textId="77777777" w:rsidR="00394412" w:rsidRPr="000B06B3" w:rsidRDefault="00394412" w:rsidP="00C60DDF">
            <w:pPr>
              <w:rPr>
                <w:rFonts w:cstheme="minorHAnsi"/>
              </w:rPr>
            </w:pPr>
            <w:r w:rsidRPr="000B06B3">
              <w:rPr>
                <w:rFonts w:cstheme="minorHAnsi"/>
              </w:rPr>
              <w:t>Measure 1 (</w:t>
            </w:r>
            <w:r>
              <w:rPr>
                <w:rFonts w:cstheme="minorHAnsi"/>
              </w:rPr>
              <w:t>Collection Cycle)</w:t>
            </w:r>
          </w:p>
        </w:tc>
        <w:tc>
          <w:tcPr>
            <w:tcW w:w="1644" w:type="dxa"/>
            <w:shd w:val="clear" w:color="auto" w:fill="EEECE1" w:themeFill="background2"/>
          </w:tcPr>
          <w:p w14:paraId="224E6F4C" w14:textId="77777777" w:rsidR="00394412" w:rsidRPr="000B06B3" w:rsidRDefault="00394412" w:rsidP="00C60DDF">
            <w:pPr>
              <w:rPr>
                <w:rFonts w:cstheme="minorHAnsi"/>
              </w:rPr>
            </w:pPr>
            <w:r w:rsidRPr="000B06B3">
              <w:rPr>
                <w:rFonts w:cstheme="minorHAnsi"/>
              </w:rPr>
              <w:t>Measure 2 (</w:t>
            </w:r>
            <w:r>
              <w:rPr>
                <w:rFonts w:cstheme="minorHAnsi"/>
              </w:rPr>
              <w:t>Collection Cycle)</w:t>
            </w:r>
            <w:r w:rsidRPr="000B06B3">
              <w:rPr>
                <w:rFonts w:cstheme="minorHAnsi"/>
              </w:rPr>
              <w:t xml:space="preserve"> </w:t>
            </w:r>
          </w:p>
        </w:tc>
      </w:tr>
      <w:tr w:rsidR="00953978" w:rsidRPr="000B06B3" w14:paraId="496B85E2" w14:textId="77777777" w:rsidTr="00FB3C34">
        <w:trPr>
          <w:trHeight w:val="386"/>
        </w:trPr>
        <w:tc>
          <w:tcPr>
            <w:tcW w:w="2088" w:type="dxa"/>
            <w:vMerge w:val="restart"/>
          </w:tcPr>
          <w:p w14:paraId="338568D5" w14:textId="77777777" w:rsidR="00953978" w:rsidRPr="000B06B3" w:rsidRDefault="00953978" w:rsidP="00C60DDF">
            <w:r>
              <w:t>G</w:t>
            </w:r>
            <w:r w:rsidRPr="000B06B3">
              <w:t>oal 1</w:t>
            </w:r>
          </w:p>
        </w:tc>
        <w:tc>
          <w:tcPr>
            <w:tcW w:w="2243" w:type="dxa"/>
            <w:vMerge w:val="restart"/>
          </w:tcPr>
          <w:p w14:paraId="201377CA" w14:textId="77777777" w:rsidR="00953978" w:rsidRPr="000B06B3" w:rsidRDefault="00953978" w:rsidP="00C60DDF"/>
        </w:tc>
        <w:tc>
          <w:tcPr>
            <w:tcW w:w="2242" w:type="dxa"/>
          </w:tcPr>
          <w:p w14:paraId="25E75401" w14:textId="77777777" w:rsidR="00953978" w:rsidRPr="000B06B3" w:rsidRDefault="00953978" w:rsidP="00C60DDF">
            <w:r w:rsidRPr="000B06B3">
              <w:t>1.1</w:t>
            </w:r>
          </w:p>
        </w:tc>
        <w:tc>
          <w:tcPr>
            <w:tcW w:w="1359" w:type="dxa"/>
          </w:tcPr>
          <w:p w14:paraId="368E791D" w14:textId="77777777" w:rsidR="00953978" w:rsidRPr="000B06B3" w:rsidRDefault="00953978" w:rsidP="00C60DDF"/>
        </w:tc>
        <w:tc>
          <w:tcPr>
            <w:tcW w:w="1644" w:type="dxa"/>
          </w:tcPr>
          <w:p w14:paraId="12C923B5" w14:textId="77777777" w:rsidR="00953978" w:rsidRPr="000B06B3" w:rsidRDefault="00953978" w:rsidP="00C60DDF"/>
        </w:tc>
      </w:tr>
      <w:tr w:rsidR="00953978" w:rsidRPr="000B06B3" w14:paraId="2996EF0D" w14:textId="77777777" w:rsidTr="00FB3C34">
        <w:trPr>
          <w:trHeight w:val="359"/>
        </w:trPr>
        <w:tc>
          <w:tcPr>
            <w:tcW w:w="2088" w:type="dxa"/>
            <w:vMerge/>
          </w:tcPr>
          <w:p w14:paraId="3CFC129B" w14:textId="77777777" w:rsidR="00953978" w:rsidRPr="000B06B3" w:rsidRDefault="00953978" w:rsidP="00C60DDF"/>
        </w:tc>
        <w:tc>
          <w:tcPr>
            <w:tcW w:w="2243" w:type="dxa"/>
            <w:vMerge/>
          </w:tcPr>
          <w:p w14:paraId="2D62A68B" w14:textId="77777777" w:rsidR="00953978" w:rsidRPr="000B06B3" w:rsidRDefault="00953978" w:rsidP="00C60DDF"/>
        </w:tc>
        <w:tc>
          <w:tcPr>
            <w:tcW w:w="2242" w:type="dxa"/>
          </w:tcPr>
          <w:p w14:paraId="3C9BDAFE" w14:textId="77777777" w:rsidR="00953978" w:rsidRPr="000B06B3" w:rsidRDefault="00953978" w:rsidP="00C60DDF">
            <w:r w:rsidRPr="000B06B3">
              <w:t>1.2</w:t>
            </w:r>
          </w:p>
        </w:tc>
        <w:tc>
          <w:tcPr>
            <w:tcW w:w="1359" w:type="dxa"/>
          </w:tcPr>
          <w:p w14:paraId="422D1A77" w14:textId="77777777" w:rsidR="00953978" w:rsidRPr="000B06B3" w:rsidRDefault="00953978" w:rsidP="00C60DDF"/>
        </w:tc>
        <w:tc>
          <w:tcPr>
            <w:tcW w:w="1644" w:type="dxa"/>
          </w:tcPr>
          <w:p w14:paraId="575D190D" w14:textId="77777777" w:rsidR="00953978" w:rsidRPr="000B06B3" w:rsidRDefault="00953978" w:rsidP="00C60DDF"/>
        </w:tc>
      </w:tr>
      <w:tr w:rsidR="00953978" w:rsidRPr="000B06B3" w14:paraId="4D3B4230" w14:textId="77777777" w:rsidTr="00FB3C34">
        <w:trPr>
          <w:trHeight w:val="440"/>
        </w:trPr>
        <w:tc>
          <w:tcPr>
            <w:tcW w:w="2088" w:type="dxa"/>
            <w:vMerge w:val="restart"/>
          </w:tcPr>
          <w:p w14:paraId="1E5D8BB5" w14:textId="77777777" w:rsidR="00953978" w:rsidRPr="000B06B3" w:rsidRDefault="00953978" w:rsidP="00C60DDF">
            <w:r w:rsidRPr="000B06B3">
              <w:t>Goal 2</w:t>
            </w:r>
          </w:p>
        </w:tc>
        <w:tc>
          <w:tcPr>
            <w:tcW w:w="2243" w:type="dxa"/>
            <w:vMerge w:val="restart"/>
          </w:tcPr>
          <w:p w14:paraId="05C56B42" w14:textId="77777777" w:rsidR="00953978" w:rsidRPr="000B06B3" w:rsidRDefault="00953978" w:rsidP="00C60DDF"/>
        </w:tc>
        <w:tc>
          <w:tcPr>
            <w:tcW w:w="2242" w:type="dxa"/>
          </w:tcPr>
          <w:p w14:paraId="01B087EA" w14:textId="77777777" w:rsidR="00953978" w:rsidRPr="000B06B3" w:rsidRDefault="00953978" w:rsidP="00C60DDF">
            <w:r w:rsidRPr="000B06B3">
              <w:t>2.1</w:t>
            </w:r>
          </w:p>
        </w:tc>
        <w:tc>
          <w:tcPr>
            <w:tcW w:w="1359" w:type="dxa"/>
          </w:tcPr>
          <w:p w14:paraId="6C5AD3AD" w14:textId="77777777" w:rsidR="00953978" w:rsidRPr="000B06B3" w:rsidRDefault="00953978" w:rsidP="00C60DDF"/>
        </w:tc>
        <w:tc>
          <w:tcPr>
            <w:tcW w:w="1644" w:type="dxa"/>
          </w:tcPr>
          <w:p w14:paraId="7377927A" w14:textId="77777777" w:rsidR="00953978" w:rsidRPr="000B06B3" w:rsidRDefault="00953978" w:rsidP="00C60DDF"/>
        </w:tc>
      </w:tr>
      <w:tr w:rsidR="00953978" w:rsidRPr="000B06B3" w14:paraId="0A039892" w14:textId="77777777" w:rsidTr="00FB3C34">
        <w:trPr>
          <w:trHeight w:val="359"/>
        </w:trPr>
        <w:tc>
          <w:tcPr>
            <w:tcW w:w="2088" w:type="dxa"/>
            <w:vMerge/>
          </w:tcPr>
          <w:p w14:paraId="75670C9E" w14:textId="77777777" w:rsidR="00953978" w:rsidRPr="000B06B3" w:rsidRDefault="00953978" w:rsidP="00C60DDF"/>
        </w:tc>
        <w:tc>
          <w:tcPr>
            <w:tcW w:w="2243" w:type="dxa"/>
            <w:vMerge/>
          </w:tcPr>
          <w:p w14:paraId="0D5BF9CB" w14:textId="77777777" w:rsidR="00953978" w:rsidRPr="000B06B3" w:rsidRDefault="00953978" w:rsidP="00C60DDF"/>
        </w:tc>
        <w:tc>
          <w:tcPr>
            <w:tcW w:w="2242" w:type="dxa"/>
          </w:tcPr>
          <w:p w14:paraId="1C8AA5E8" w14:textId="77777777" w:rsidR="00953978" w:rsidRPr="000B06B3" w:rsidRDefault="00953978" w:rsidP="00C60DDF">
            <w:r w:rsidRPr="000B06B3">
              <w:t>2.2</w:t>
            </w:r>
          </w:p>
        </w:tc>
        <w:tc>
          <w:tcPr>
            <w:tcW w:w="1359" w:type="dxa"/>
          </w:tcPr>
          <w:p w14:paraId="0E0B81DD" w14:textId="77777777" w:rsidR="00953978" w:rsidRPr="000B06B3" w:rsidRDefault="00953978" w:rsidP="00C60DDF"/>
        </w:tc>
        <w:tc>
          <w:tcPr>
            <w:tcW w:w="1644" w:type="dxa"/>
          </w:tcPr>
          <w:p w14:paraId="6A81A0D2" w14:textId="77777777" w:rsidR="00953978" w:rsidRPr="000B06B3" w:rsidRDefault="00953978" w:rsidP="00C60DDF"/>
        </w:tc>
      </w:tr>
      <w:tr w:rsidR="00953978" w:rsidRPr="000B06B3" w14:paraId="2E9E0CB5" w14:textId="77777777" w:rsidTr="00FB3C34">
        <w:trPr>
          <w:trHeight w:val="413"/>
        </w:trPr>
        <w:tc>
          <w:tcPr>
            <w:tcW w:w="2088" w:type="dxa"/>
            <w:vMerge w:val="restart"/>
          </w:tcPr>
          <w:p w14:paraId="4700CB51" w14:textId="77777777" w:rsidR="00953978" w:rsidRPr="000B06B3" w:rsidRDefault="00953978" w:rsidP="00C60DDF">
            <w:r w:rsidRPr="000B06B3">
              <w:t>Goal 3</w:t>
            </w:r>
          </w:p>
        </w:tc>
        <w:tc>
          <w:tcPr>
            <w:tcW w:w="2243" w:type="dxa"/>
            <w:vMerge w:val="restart"/>
          </w:tcPr>
          <w:p w14:paraId="0484B7B3" w14:textId="77777777" w:rsidR="00953978" w:rsidRPr="000B06B3" w:rsidRDefault="00953978" w:rsidP="00C60DDF"/>
        </w:tc>
        <w:tc>
          <w:tcPr>
            <w:tcW w:w="2242" w:type="dxa"/>
          </w:tcPr>
          <w:p w14:paraId="7287F643" w14:textId="77777777" w:rsidR="00953978" w:rsidRPr="000B06B3" w:rsidRDefault="00953978" w:rsidP="00C60DDF">
            <w:r w:rsidRPr="000B06B3">
              <w:t>3.1</w:t>
            </w:r>
          </w:p>
        </w:tc>
        <w:tc>
          <w:tcPr>
            <w:tcW w:w="1359" w:type="dxa"/>
          </w:tcPr>
          <w:p w14:paraId="64FF56EF" w14:textId="77777777" w:rsidR="00953978" w:rsidRPr="000B06B3" w:rsidRDefault="00953978" w:rsidP="00C60DDF"/>
        </w:tc>
        <w:tc>
          <w:tcPr>
            <w:tcW w:w="1644" w:type="dxa"/>
          </w:tcPr>
          <w:p w14:paraId="32B6EC90" w14:textId="77777777" w:rsidR="00953978" w:rsidRPr="000B06B3" w:rsidRDefault="00953978" w:rsidP="00C60DDF"/>
        </w:tc>
      </w:tr>
      <w:tr w:rsidR="00953978" w:rsidRPr="000B06B3" w14:paraId="77BC445B" w14:textId="77777777" w:rsidTr="00FB3C34">
        <w:trPr>
          <w:trHeight w:val="440"/>
        </w:trPr>
        <w:tc>
          <w:tcPr>
            <w:tcW w:w="2088" w:type="dxa"/>
            <w:vMerge/>
          </w:tcPr>
          <w:p w14:paraId="005A3EAB" w14:textId="77777777" w:rsidR="00953978" w:rsidRPr="000B06B3" w:rsidRDefault="00953978" w:rsidP="00C60DDF"/>
        </w:tc>
        <w:tc>
          <w:tcPr>
            <w:tcW w:w="2243" w:type="dxa"/>
            <w:vMerge/>
          </w:tcPr>
          <w:p w14:paraId="2122E177" w14:textId="77777777" w:rsidR="00953978" w:rsidRPr="000B06B3" w:rsidRDefault="00953978" w:rsidP="00C60DDF"/>
        </w:tc>
        <w:tc>
          <w:tcPr>
            <w:tcW w:w="2242" w:type="dxa"/>
          </w:tcPr>
          <w:p w14:paraId="523066AD" w14:textId="77777777" w:rsidR="00953978" w:rsidRPr="000B06B3" w:rsidRDefault="00953978" w:rsidP="00C60DDF">
            <w:r w:rsidRPr="000B06B3">
              <w:t>3.2</w:t>
            </w:r>
          </w:p>
        </w:tc>
        <w:tc>
          <w:tcPr>
            <w:tcW w:w="1359" w:type="dxa"/>
          </w:tcPr>
          <w:p w14:paraId="25DFD7E9" w14:textId="77777777" w:rsidR="00953978" w:rsidRPr="000B06B3" w:rsidRDefault="00953978" w:rsidP="00C60DDF"/>
        </w:tc>
        <w:tc>
          <w:tcPr>
            <w:tcW w:w="1644" w:type="dxa"/>
          </w:tcPr>
          <w:p w14:paraId="176AD00D" w14:textId="77777777" w:rsidR="00953978" w:rsidRPr="000B06B3" w:rsidRDefault="00953978" w:rsidP="00C60DDF"/>
        </w:tc>
      </w:tr>
    </w:tbl>
    <w:p w14:paraId="0C975BC3" w14:textId="77777777" w:rsidR="00953978" w:rsidRDefault="00953978" w:rsidP="00C60DDF">
      <w:pPr>
        <w:spacing w:after="0"/>
        <w:jc w:val="center"/>
        <w:rPr>
          <w:b/>
        </w:rPr>
      </w:pPr>
    </w:p>
    <w:p w14:paraId="25A7EF54" w14:textId="77777777" w:rsidR="00D21FBF" w:rsidRDefault="00D21FBF" w:rsidP="00C60DDF">
      <w:pPr>
        <w:spacing w:after="0"/>
        <w:rPr>
          <w:rFonts w:cstheme="minorHAnsi"/>
        </w:rPr>
      </w:pPr>
    </w:p>
    <w:p w14:paraId="369538CA" w14:textId="77777777" w:rsidR="00D21FBF" w:rsidRPr="00D21FBF" w:rsidRDefault="00D21FBF" w:rsidP="00C60DDF">
      <w:pPr>
        <w:spacing w:after="0"/>
        <w:rPr>
          <w:rFonts w:cstheme="minorHAnsi"/>
          <w:b/>
        </w:rPr>
      </w:pPr>
      <w:r w:rsidRPr="00D21FBF">
        <w:rPr>
          <w:rFonts w:cstheme="minorHAnsi"/>
          <w:b/>
        </w:rPr>
        <w:t>Reporting and Improvement Phase</w:t>
      </w:r>
    </w:p>
    <w:p w14:paraId="15B07DF8" w14:textId="77777777" w:rsidR="00D21FBF" w:rsidRDefault="00D21FBF" w:rsidP="00C60DDF">
      <w:pPr>
        <w:spacing w:after="0"/>
        <w:rPr>
          <w:rFonts w:cstheme="minorHAnsi"/>
        </w:rPr>
      </w:pPr>
    </w:p>
    <w:p w14:paraId="2EDD4BBE" w14:textId="77777777" w:rsidR="00FB3C34" w:rsidRPr="00C60DDF" w:rsidRDefault="00FB3C34" w:rsidP="00C60DDF">
      <w:pPr>
        <w:spacing w:after="0"/>
        <w:rPr>
          <w:rFonts w:cstheme="minorHAnsi"/>
        </w:rPr>
      </w:pPr>
      <w:r w:rsidRPr="00C60DDF">
        <w:rPr>
          <w:rFonts w:cstheme="minorHAnsi"/>
        </w:rPr>
        <w:t>The elements of the reporting and improvement phase involve the following steps:</w:t>
      </w:r>
    </w:p>
    <w:p w14:paraId="7AAF77C9" w14:textId="77777777" w:rsidR="00AE7B2A" w:rsidRPr="00C60DDF" w:rsidRDefault="00AE7B2A" w:rsidP="00C60DDF">
      <w:pPr>
        <w:spacing w:after="0"/>
        <w:rPr>
          <w:rFonts w:cstheme="minorHAnsi"/>
        </w:rPr>
      </w:pPr>
    </w:p>
    <w:p w14:paraId="389349F7" w14:textId="77777777" w:rsidR="00AE7B2A" w:rsidRPr="00AE7B2A" w:rsidRDefault="00AE7B2A" w:rsidP="00C60DDF">
      <w:pPr>
        <w:pStyle w:val="ListParagraph"/>
        <w:numPr>
          <w:ilvl w:val="0"/>
          <w:numId w:val="4"/>
        </w:numPr>
        <w:spacing w:after="0"/>
        <w:rPr>
          <w:rFonts w:cstheme="minorHAnsi"/>
          <w:b/>
        </w:rPr>
      </w:pPr>
      <w:r w:rsidRPr="006F499D">
        <w:rPr>
          <w:rFonts w:cstheme="minorHAnsi"/>
        </w:rPr>
        <w:t>Collect data</w:t>
      </w:r>
      <w:r>
        <w:rPr>
          <w:rFonts w:cstheme="minorHAnsi"/>
        </w:rPr>
        <w:t xml:space="preserve"> using the measures described above according to the collection cycle identified.  Post results on the assessment template </w:t>
      </w:r>
      <w:r w:rsidR="006F499D">
        <w:rPr>
          <w:rFonts w:cstheme="minorHAnsi"/>
        </w:rPr>
        <w:t xml:space="preserve">under Annual Summary of Data </w:t>
      </w:r>
      <w:r>
        <w:rPr>
          <w:rFonts w:cstheme="minorHAnsi"/>
        </w:rPr>
        <w:t>in Compliance Assist.</w:t>
      </w:r>
    </w:p>
    <w:p w14:paraId="05894A99" w14:textId="77777777" w:rsidR="00AE7B2A" w:rsidRPr="00AE7B2A" w:rsidRDefault="00AE7B2A" w:rsidP="00C60DDF">
      <w:pPr>
        <w:pStyle w:val="ListParagraph"/>
        <w:spacing w:after="0"/>
        <w:rPr>
          <w:rFonts w:cstheme="minorHAnsi"/>
          <w:b/>
        </w:rPr>
      </w:pPr>
    </w:p>
    <w:p w14:paraId="7EFF7617" w14:textId="77777777" w:rsidR="00AE7B2A" w:rsidRPr="00C60DDF" w:rsidRDefault="00AE7B2A" w:rsidP="00C60DDF">
      <w:pPr>
        <w:pStyle w:val="ListParagraph"/>
        <w:numPr>
          <w:ilvl w:val="0"/>
          <w:numId w:val="4"/>
        </w:numPr>
        <w:spacing w:after="0"/>
        <w:rPr>
          <w:rFonts w:cstheme="minorHAnsi"/>
        </w:rPr>
      </w:pPr>
      <w:r w:rsidRPr="00C60DDF">
        <w:rPr>
          <w:rFonts w:cstheme="minorHAnsi"/>
        </w:rPr>
        <w:t>Analyze the results, share findings with appropriate stakeholders, and identify improvement strategies designed to address assessment results.  The analysis should reflect data-driven decision making.    Post a summary of this analysis in the assessment template in Compliance Assist.</w:t>
      </w:r>
    </w:p>
    <w:p w14:paraId="29625E7F" w14:textId="77777777" w:rsidR="00C60DDF" w:rsidRDefault="00C60DDF" w:rsidP="00C60DDF">
      <w:pPr>
        <w:spacing w:after="0"/>
      </w:pPr>
    </w:p>
    <w:p w14:paraId="3DCFF7A4" w14:textId="77777777" w:rsidR="00C60DDF" w:rsidRDefault="00C60DDF" w:rsidP="00C60DDF">
      <w:pPr>
        <w:spacing w:after="0"/>
      </w:pPr>
    </w:p>
    <w:p w14:paraId="6E5C2FAF" w14:textId="77777777" w:rsidR="00C60DDF" w:rsidRDefault="00C60DDF" w:rsidP="00C60DDF">
      <w:pPr>
        <w:spacing w:after="0"/>
      </w:pPr>
    </w:p>
    <w:p w14:paraId="619E35FF" w14:textId="77777777" w:rsidR="00C60DDF" w:rsidRDefault="00C60DDF" w:rsidP="00C60DDF">
      <w:pPr>
        <w:spacing w:after="0"/>
      </w:pPr>
    </w:p>
    <w:p w14:paraId="0D8A675C" w14:textId="77777777" w:rsidR="00C60DDF" w:rsidRDefault="00C60DDF" w:rsidP="00C60DDF">
      <w:pPr>
        <w:rPr>
          <w:rFonts w:cstheme="minorHAnsi"/>
        </w:rPr>
      </w:pPr>
      <w:r w:rsidRPr="000B06B3">
        <w:rPr>
          <w:rFonts w:cstheme="minorHAnsi"/>
        </w:rPr>
        <w:t>The Towson University process is based on methods used by the University of Central Florida (pulled June 28, 2012) and the University of Southern Florida (pulled June 30, 2012).</w:t>
      </w:r>
    </w:p>
    <w:p w14:paraId="11ABE13B" w14:textId="77777777" w:rsidR="00C60DDF" w:rsidRDefault="00C60DDF" w:rsidP="00C60DDF">
      <w:pPr>
        <w:spacing w:after="0"/>
      </w:pPr>
    </w:p>
    <w:p w14:paraId="09EC5FBD" w14:textId="77777777" w:rsidR="00953978" w:rsidRDefault="00953978" w:rsidP="00C60DDF">
      <w:pPr>
        <w:spacing w:after="0"/>
      </w:pPr>
      <w:r>
        <w:br w:type="page"/>
      </w:r>
    </w:p>
    <w:p w14:paraId="4C219E31" w14:textId="77777777" w:rsidR="00A6355C" w:rsidRDefault="001B0B15" w:rsidP="001B0B15">
      <w:pPr>
        <w:jc w:val="center"/>
        <w:rPr>
          <w:b/>
        </w:rPr>
      </w:pPr>
      <w:r>
        <w:rPr>
          <w:b/>
        </w:rPr>
        <w:lastRenderedPageBreak/>
        <w:t>Attachment A</w:t>
      </w:r>
      <w:r w:rsidR="00A6355C">
        <w:rPr>
          <w:b/>
        </w:rPr>
        <w:t xml:space="preserve"> - </w:t>
      </w:r>
      <w:r>
        <w:rPr>
          <w:b/>
        </w:rPr>
        <w:t>Planning Template</w:t>
      </w:r>
      <w:r>
        <w:rPr>
          <w:b/>
          <w:noProof/>
        </w:rPr>
        <w:drawing>
          <wp:inline distT="0" distB="0" distL="0" distR="0" wp14:anchorId="01D6D433" wp14:editId="29975AE1">
            <wp:extent cx="5400135" cy="67803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OverviewTemplate_Page_1.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407984" cy="6790217"/>
                    </a:xfrm>
                    <a:prstGeom prst="rect">
                      <a:avLst/>
                    </a:prstGeom>
                    <a:ln>
                      <a:noFill/>
                    </a:ln>
                    <a:extLst>
                      <a:ext uri="{53640926-AAD7-44D8-BBD7-CCE9431645EC}">
                        <a14:shadowObscured xmlns:a14="http://schemas.microsoft.com/office/drawing/2010/main"/>
                      </a:ext>
                    </a:extLst>
                  </pic:spPr>
                </pic:pic>
              </a:graphicData>
            </a:graphic>
          </wp:inline>
        </w:drawing>
      </w:r>
    </w:p>
    <w:p w14:paraId="40BE910C" w14:textId="77777777" w:rsidR="001B0B15" w:rsidRDefault="001B0B15" w:rsidP="001B0B15">
      <w:pPr>
        <w:jc w:val="center"/>
        <w:rPr>
          <w:b/>
        </w:rPr>
      </w:pPr>
      <w:r>
        <w:rPr>
          <w:b/>
          <w:noProof/>
        </w:rPr>
        <w:lastRenderedPageBreak/>
        <w:drawing>
          <wp:inline distT="0" distB="0" distL="0" distR="0" wp14:anchorId="2E8645FB" wp14:editId="7037694D">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OverviewTemplate_Page_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69CF4BA1" w14:textId="77777777" w:rsidR="001B0B15" w:rsidRDefault="001B0B15">
      <w:pPr>
        <w:rPr>
          <w:b/>
        </w:rPr>
      </w:pPr>
    </w:p>
    <w:p w14:paraId="50954A43" w14:textId="77777777" w:rsidR="001B0B15" w:rsidRDefault="001B0B15" w:rsidP="001B0B15">
      <w:pPr>
        <w:jc w:val="center"/>
        <w:rPr>
          <w:b/>
        </w:rPr>
      </w:pPr>
      <w:r>
        <w:rPr>
          <w:b/>
        </w:rPr>
        <w:lastRenderedPageBreak/>
        <w:t>Attachment B – Objective Reporting Template</w:t>
      </w:r>
    </w:p>
    <w:p w14:paraId="0A4EBFF7" w14:textId="77777777" w:rsidR="001B0B15" w:rsidRDefault="001B0B15">
      <w:pPr>
        <w:rPr>
          <w:b/>
        </w:rPr>
      </w:pPr>
      <w:r>
        <w:rPr>
          <w:b/>
          <w:noProof/>
        </w:rPr>
        <w:drawing>
          <wp:inline distT="0" distB="0" distL="0" distR="0" wp14:anchorId="18CF94E1" wp14:editId="6E8F3069">
            <wp:extent cx="5305245" cy="6675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Objective_OutcomesTemplate_Page_1.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323629" cy="6698334"/>
                    </a:xfrm>
                    <a:prstGeom prst="rect">
                      <a:avLst/>
                    </a:prstGeom>
                    <a:ln>
                      <a:noFill/>
                    </a:ln>
                    <a:extLst>
                      <a:ext uri="{53640926-AAD7-44D8-BBD7-CCE9431645EC}">
                        <a14:shadowObscured xmlns:a14="http://schemas.microsoft.com/office/drawing/2010/main"/>
                      </a:ext>
                    </a:extLst>
                  </pic:spPr>
                </pic:pic>
              </a:graphicData>
            </a:graphic>
          </wp:inline>
        </w:drawing>
      </w:r>
    </w:p>
    <w:p w14:paraId="0A270F1F" w14:textId="77777777" w:rsidR="00C60DDF" w:rsidRDefault="001B0B15" w:rsidP="00C60DDF">
      <w:pPr>
        <w:spacing w:after="0"/>
      </w:pPr>
      <w:r>
        <w:rPr>
          <w:noProof/>
        </w:rPr>
        <w:lastRenderedPageBreak/>
        <w:drawing>
          <wp:inline distT="0" distB="0" distL="0" distR="0" wp14:anchorId="06412096" wp14:editId="0B8BD876">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Objective_OutcomesTemplate_Page_2.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77BC812" w14:textId="77777777" w:rsidR="00B61D54" w:rsidRDefault="00B61D54" w:rsidP="00B61D54">
      <w:pPr>
        <w:rPr>
          <w:b/>
        </w:rPr>
      </w:pPr>
    </w:p>
    <w:p w14:paraId="02B709AC" w14:textId="77777777" w:rsidR="00B61D54" w:rsidRDefault="00B61D54" w:rsidP="00B61D54">
      <w:pPr>
        <w:rPr>
          <w:b/>
        </w:rPr>
      </w:pPr>
    </w:p>
    <w:p w14:paraId="7BA1B628" w14:textId="77777777" w:rsidR="00250DD4" w:rsidRDefault="00250DD4" w:rsidP="00B61D54">
      <w:pPr>
        <w:rPr>
          <w:b/>
        </w:rPr>
        <w:sectPr w:rsidR="00250DD4" w:rsidSect="00BD621D">
          <w:footerReference w:type="default" r:id="rId12"/>
          <w:pgSz w:w="12240" w:h="15840"/>
          <w:pgMar w:top="1440" w:right="1440" w:bottom="1440" w:left="1440" w:header="720" w:footer="720" w:gutter="0"/>
          <w:cols w:space="720"/>
          <w:docGrid w:linePitch="360"/>
        </w:sectPr>
      </w:pPr>
    </w:p>
    <w:p w14:paraId="42FAC8A0" w14:textId="08E2CF07" w:rsidR="00B61D54" w:rsidRDefault="000B710E" w:rsidP="00B61D54">
      <w:pPr>
        <w:rPr>
          <w:b/>
        </w:rPr>
      </w:pPr>
      <w:r>
        <w:rPr>
          <w:b/>
        </w:rPr>
        <w:lastRenderedPageBreak/>
        <w:t>Attachment C - Assessment Schedule and Sample 2-Year Cycle</w:t>
      </w:r>
    </w:p>
    <w:tbl>
      <w:tblPr>
        <w:tblW w:w="12884" w:type="dxa"/>
        <w:tblLook w:val="04A0" w:firstRow="1" w:lastRow="0" w:firstColumn="1" w:lastColumn="0" w:noHBand="0" w:noVBand="1"/>
      </w:tblPr>
      <w:tblGrid>
        <w:gridCol w:w="984"/>
        <w:gridCol w:w="2951"/>
        <w:gridCol w:w="4228"/>
        <w:gridCol w:w="2252"/>
        <w:gridCol w:w="2469"/>
      </w:tblGrid>
      <w:tr w:rsidR="00250DD4" w:rsidRPr="00250DD4" w14:paraId="2EDEF0A9" w14:textId="77777777" w:rsidTr="000B710E">
        <w:trPr>
          <w:trHeight w:val="358"/>
        </w:trPr>
        <w:tc>
          <w:tcPr>
            <w:tcW w:w="984" w:type="dxa"/>
            <w:tcBorders>
              <w:top w:val="single" w:sz="4" w:space="0" w:color="auto"/>
              <w:left w:val="single" w:sz="4" w:space="0" w:color="auto"/>
              <w:bottom w:val="single" w:sz="4" w:space="0" w:color="auto"/>
              <w:right w:val="single" w:sz="4" w:space="0" w:color="auto"/>
            </w:tcBorders>
            <w:shd w:val="clear" w:color="000000" w:fill="FFE699"/>
            <w:vAlign w:val="bottom"/>
            <w:hideMark/>
          </w:tcPr>
          <w:p w14:paraId="69B4D650"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Cycle</w:t>
            </w:r>
          </w:p>
        </w:tc>
        <w:tc>
          <w:tcPr>
            <w:tcW w:w="2951" w:type="dxa"/>
            <w:tcBorders>
              <w:top w:val="single" w:sz="4" w:space="0" w:color="auto"/>
              <w:left w:val="nil"/>
              <w:bottom w:val="single" w:sz="4" w:space="0" w:color="auto"/>
              <w:right w:val="single" w:sz="4" w:space="0" w:color="auto"/>
            </w:tcBorders>
            <w:shd w:val="clear" w:color="000000" w:fill="FFE699"/>
            <w:vAlign w:val="bottom"/>
            <w:hideMark/>
          </w:tcPr>
          <w:p w14:paraId="598EA024"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Task</w:t>
            </w:r>
          </w:p>
        </w:tc>
        <w:tc>
          <w:tcPr>
            <w:tcW w:w="4228" w:type="dxa"/>
            <w:tcBorders>
              <w:top w:val="single" w:sz="4" w:space="0" w:color="auto"/>
              <w:left w:val="nil"/>
              <w:bottom w:val="single" w:sz="4" w:space="0" w:color="auto"/>
              <w:right w:val="single" w:sz="4" w:space="0" w:color="auto"/>
            </w:tcBorders>
            <w:shd w:val="clear" w:color="000000" w:fill="FFE699"/>
            <w:vAlign w:val="bottom"/>
            <w:hideMark/>
          </w:tcPr>
          <w:p w14:paraId="4FA26BA8"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Task Description</w:t>
            </w:r>
          </w:p>
        </w:tc>
        <w:tc>
          <w:tcPr>
            <w:tcW w:w="2252" w:type="dxa"/>
            <w:tcBorders>
              <w:top w:val="single" w:sz="4" w:space="0" w:color="auto"/>
              <w:left w:val="nil"/>
              <w:bottom w:val="single" w:sz="4" w:space="0" w:color="auto"/>
              <w:right w:val="single" w:sz="4" w:space="0" w:color="auto"/>
            </w:tcBorders>
            <w:shd w:val="clear" w:color="000000" w:fill="FFE699"/>
            <w:vAlign w:val="bottom"/>
            <w:hideMark/>
          </w:tcPr>
          <w:p w14:paraId="2508D90F"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Responsible Party</w:t>
            </w:r>
          </w:p>
        </w:tc>
        <w:tc>
          <w:tcPr>
            <w:tcW w:w="2469" w:type="dxa"/>
            <w:tcBorders>
              <w:top w:val="single" w:sz="4" w:space="0" w:color="auto"/>
              <w:left w:val="nil"/>
              <w:bottom w:val="single" w:sz="4" w:space="0" w:color="auto"/>
              <w:right w:val="single" w:sz="4" w:space="0" w:color="auto"/>
            </w:tcBorders>
            <w:shd w:val="clear" w:color="000000" w:fill="FFE699"/>
            <w:vAlign w:val="bottom"/>
            <w:hideMark/>
          </w:tcPr>
          <w:p w14:paraId="5F7BE3CC"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Date</w:t>
            </w:r>
          </w:p>
        </w:tc>
      </w:tr>
      <w:tr w:rsidR="00250DD4" w:rsidRPr="00250DD4" w14:paraId="6010FE51" w14:textId="77777777" w:rsidTr="00250DD4">
        <w:trPr>
          <w:trHeight w:val="178"/>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39C35E49"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 </w:t>
            </w:r>
          </w:p>
        </w:tc>
        <w:tc>
          <w:tcPr>
            <w:tcW w:w="2951" w:type="dxa"/>
            <w:tcBorders>
              <w:top w:val="nil"/>
              <w:left w:val="nil"/>
              <w:bottom w:val="single" w:sz="4" w:space="0" w:color="auto"/>
              <w:right w:val="single" w:sz="4" w:space="0" w:color="auto"/>
            </w:tcBorders>
            <w:shd w:val="clear" w:color="auto" w:fill="auto"/>
            <w:vAlign w:val="bottom"/>
            <w:hideMark/>
          </w:tcPr>
          <w:p w14:paraId="1704D6A9"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 </w:t>
            </w:r>
          </w:p>
        </w:tc>
        <w:tc>
          <w:tcPr>
            <w:tcW w:w="4228" w:type="dxa"/>
            <w:tcBorders>
              <w:top w:val="nil"/>
              <w:left w:val="nil"/>
              <w:bottom w:val="single" w:sz="4" w:space="0" w:color="auto"/>
              <w:right w:val="single" w:sz="4" w:space="0" w:color="auto"/>
            </w:tcBorders>
            <w:shd w:val="clear" w:color="auto" w:fill="auto"/>
            <w:vAlign w:val="bottom"/>
            <w:hideMark/>
          </w:tcPr>
          <w:p w14:paraId="2FABD774" w14:textId="77777777" w:rsidR="00250DD4" w:rsidRPr="00250DD4" w:rsidRDefault="00250DD4" w:rsidP="00250DD4">
            <w:pPr>
              <w:spacing w:after="0" w:line="240" w:lineRule="auto"/>
              <w:rPr>
                <w:rFonts w:ascii="Calibri" w:eastAsia="Times New Roman" w:hAnsi="Calibri" w:cs="Times New Roman"/>
                <w:b/>
                <w:bCs/>
                <w:color w:val="000000"/>
              </w:rPr>
            </w:pPr>
            <w:r w:rsidRPr="00250DD4">
              <w:rPr>
                <w:rFonts w:ascii="Calibri" w:eastAsia="Times New Roman" w:hAnsi="Calibri" w:cs="Times New Roman"/>
                <w:b/>
                <w:bCs/>
                <w:color w:val="000000"/>
              </w:rPr>
              <w:t> </w:t>
            </w:r>
          </w:p>
        </w:tc>
        <w:tc>
          <w:tcPr>
            <w:tcW w:w="2252" w:type="dxa"/>
            <w:tcBorders>
              <w:top w:val="nil"/>
              <w:left w:val="nil"/>
              <w:bottom w:val="single" w:sz="4" w:space="0" w:color="auto"/>
              <w:right w:val="single" w:sz="4" w:space="0" w:color="auto"/>
            </w:tcBorders>
            <w:shd w:val="clear" w:color="auto" w:fill="auto"/>
            <w:vAlign w:val="bottom"/>
            <w:hideMark/>
          </w:tcPr>
          <w:p w14:paraId="6E75509C" w14:textId="77777777" w:rsidR="00250DD4" w:rsidRPr="00250DD4" w:rsidRDefault="00250DD4" w:rsidP="00250DD4">
            <w:pPr>
              <w:spacing w:after="0" w:line="240" w:lineRule="auto"/>
              <w:rPr>
                <w:rFonts w:ascii="Calibri" w:eastAsia="Times New Roman" w:hAnsi="Calibri" w:cs="Times New Roman"/>
                <w:b/>
                <w:bCs/>
                <w:color w:val="000000"/>
              </w:rPr>
            </w:pPr>
            <w:r w:rsidRPr="00250DD4">
              <w:rPr>
                <w:rFonts w:ascii="Calibri" w:eastAsia="Times New Roman" w:hAnsi="Calibri" w:cs="Times New Roman"/>
                <w:b/>
                <w:bCs/>
                <w:color w:val="000000"/>
              </w:rPr>
              <w:t> </w:t>
            </w:r>
          </w:p>
        </w:tc>
        <w:tc>
          <w:tcPr>
            <w:tcW w:w="2469" w:type="dxa"/>
            <w:tcBorders>
              <w:top w:val="nil"/>
              <w:left w:val="nil"/>
              <w:bottom w:val="single" w:sz="4" w:space="0" w:color="auto"/>
              <w:right w:val="single" w:sz="4" w:space="0" w:color="auto"/>
            </w:tcBorders>
            <w:shd w:val="clear" w:color="auto" w:fill="auto"/>
            <w:vAlign w:val="bottom"/>
            <w:hideMark/>
          </w:tcPr>
          <w:p w14:paraId="25A257DA" w14:textId="77777777" w:rsidR="00250DD4" w:rsidRPr="00250DD4" w:rsidRDefault="00250DD4" w:rsidP="00250DD4">
            <w:pPr>
              <w:spacing w:after="0" w:line="240" w:lineRule="auto"/>
              <w:jc w:val="center"/>
              <w:rPr>
                <w:rFonts w:ascii="Calibri" w:eastAsia="Times New Roman" w:hAnsi="Calibri" w:cs="Times New Roman"/>
                <w:b/>
                <w:bCs/>
                <w:color w:val="000000"/>
              </w:rPr>
            </w:pPr>
            <w:r w:rsidRPr="00250DD4">
              <w:rPr>
                <w:rFonts w:ascii="Calibri" w:eastAsia="Times New Roman" w:hAnsi="Calibri" w:cs="Times New Roman"/>
                <w:b/>
                <w:bCs/>
                <w:color w:val="000000"/>
              </w:rPr>
              <w:t> </w:t>
            </w:r>
          </w:p>
        </w:tc>
      </w:tr>
      <w:tr w:rsidR="00250DD4" w:rsidRPr="00250DD4" w14:paraId="6DB9B39E" w14:textId="77777777" w:rsidTr="000B710E">
        <w:trPr>
          <w:trHeight w:val="537"/>
        </w:trPr>
        <w:tc>
          <w:tcPr>
            <w:tcW w:w="984" w:type="dxa"/>
            <w:tcBorders>
              <w:top w:val="nil"/>
              <w:left w:val="single" w:sz="4" w:space="0" w:color="auto"/>
              <w:bottom w:val="single" w:sz="4" w:space="0" w:color="auto"/>
              <w:right w:val="single" w:sz="4" w:space="0" w:color="auto"/>
            </w:tcBorders>
            <w:shd w:val="clear" w:color="000000" w:fill="FFF2CC"/>
            <w:vAlign w:val="bottom"/>
            <w:hideMark/>
          </w:tcPr>
          <w:p w14:paraId="06F94524"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1</w:t>
            </w:r>
          </w:p>
        </w:tc>
        <w:tc>
          <w:tcPr>
            <w:tcW w:w="2951" w:type="dxa"/>
            <w:tcBorders>
              <w:top w:val="nil"/>
              <w:left w:val="nil"/>
              <w:bottom w:val="single" w:sz="4" w:space="0" w:color="auto"/>
              <w:right w:val="single" w:sz="4" w:space="0" w:color="auto"/>
            </w:tcBorders>
            <w:shd w:val="clear" w:color="000000" w:fill="FFF2CC"/>
            <w:vAlign w:val="bottom"/>
            <w:hideMark/>
          </w:tcPr>
          <w:p w14:paraId="23DE3625"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Overview Updates Finalized in CA</w:t>
            </w:r>
          </w:p>
        </w:tc>
        <w:tc>
          <w:tcPr>
            <w:tcW w:w="4228" w:type="dxa"/>
            <w:tcBorders>
              <w:top w:val="nil"/>
              <w:left w:val="nil"/>
              <w:bottom w:val="single" w:sz="4" w:space="0" w:color="auto"/>
              <w:right w:val="single" w:sz="4" w:space="0" w:color="auto"/>
            </w:tcBorders>
            <w:shd w:val="clear" w:color="000000" w:fill="FFF2CC"/>
            <w:vAlign w:val="bottom"/>
            <w:hideMark/>
          </w:tcPr>
          <w:p w14:paraId="1ECFE88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Updates to Overview for next collection cycle finalized in Compliance Assist (CA).</w:t>
            </w:r>
          </w:p>
        </w:tc>
        <w:tc>
          <w:tcPr>
            <w:tcW w:w="2252" w:type="dxa"/>
            <w:tcBorders>
              <w:top w:val="nil"/>
              <w:left w:val="nil"/>
              <w:bottom w:val="single" w:sz="4" w:space="0" w:color="auto"/>
              <w:right w:val="single" w:sz="4" w:space="0" w:color="auto"/>
            </w:tcBorders>
            <w:shd w:val="clear" w:color="000000" w:fill="FFF2CC"/>
            <w:vAlign w:val="bottom"/>
            <w:hideMark/>
          </w:tcPr>
          <w:p w14:paraId="29188100"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000000" w:fill="FFF2CC"/>
            <w:vAlign w:val="bottom"/>
            <w:hideMark/>
          </w:tcPr>
          <w:p w14:paraId="2C199D71"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6/30/2016</w:t>
            </w:r>
          </w:p>
        </w:tc>
      </w:tr>
      <w:tr w:rsidR="00250DD4" w:rsidRPr="00250DD4" w14:paraId="697837D9" w14:textId="77777777" w:rsidTr="00250DD4">
        <w:trPr>
          <w:trHeight w:val="358"/>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082C9DC0"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1</w:t>
            </w:r>
          </w:p>
        </w:tc>
        <w:tc>
          <w:tcPr>
            <w:tcW w:w="2951" w:type="dxa"/>
            <w:tcBorders>
              <w:top w:val="nil"/>
              <w:left w:val="nil"/>
              <w:bottom w:val="single" w:sz="4" w:space="0" w:color="auto"/>
              <w:right w:val="single" w:sz="4" w:space="0" w:color="auto"/>
            </w:tcBorders>
            <w:shd w:val="clear" w:color="auto" w:fill="auto"/>
            <w:vAlign w:val="bottom"/>
            <w:hideMark/>
          </w:tcPr>
          <w:p w14:paraId="32AC9136"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Data Collection and Analysis Phase</w:t>
            </w:r>
          </w:p>
        </w:tc>
        <w:tc>
          <w:tcPr>
            <w:tcW w:w="4228" w:type="dxa"/>
            <w:tcBorders>
              <w:top w:val="nil"/>
              <w:left w:val="nil"/>
              <w:bottom w:val="single" w:sz="4" w:space="0" w:color="auto"/>
              <w:right w:val="single" w:sz="4" w:space="0" w:color="auto"/>
            </w:tcBorders>
            <w:shd w:val="clear" w:color="auto" w:fill="auto"/>
            <w:vAlign w:val="bottom"/>
            <w:hideMark/>
          </w:tcPr>
          <w:p w14:paraId="214BA2E1"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Collection of data and analysis of results.</w:t>
            </w:r>
          </w:p>
        </w:tc>
        <w:tc>
          <w:tcPr>
            <w:tcW w:w="2252" w:type="dxa"/>
            <w:tcBorders>
              <w:top w:val="nil"/>
              <w:left w:val="nil"/>
              <w:bottom w:val="single" w:sz="4" w:space="0" w:color="auto"/>
              <w:right w:val="single" w:sz="4" w:space="0" w:color="auto"/>
            </w:tcBorders>
            <w:shd w:val="clear" w:color="auto" w:fill="auto"/>
            <w:vAlign w:val="bottom"/>
            <w:hideMark/>
          </w:tcPr>
          <w:p w14:paraId="6DB4588B"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auto" w:fill="auto"/>
            <w:vAlign w:val="bottom"/>
            <w:hideMark/>
          </w:tcPr>
          <w:p w14:paraId="3AB5BF4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7/1/16-6/30/17</w:t>
            </w:r>
          </w:p>
        </w:tc>
      </w:tr>
      <w:tr w:rsidR="00250DD4" w:rsidRPr="00250DD4" w14:paraId="4D8F4BDA" w14:textId="77777777" w:rsidTr="000B710E">
        <w:trPr>
          <w:trHeight w:val="1160"/>
        </w:trPr>
        <w:tc>
          <w:tcPr>
            <w:tcW w:w="984" w:type="dxa"/>
            <w:tcBorders>
              <w:top w:val="nil"/>
              <w:left w:val="single" w:sz="4" w:space="0" w:color="auto"/>
              <w:bottom w:val="single" w:sz="4" w:space="0" w:color="auto"/>
              <w:right w:val="single" w:sz="4" w:space="0" w:color="auto"/>
            </w:tcBorders>
            <w:shd w:val="clear" w:color="000000" w:fill="FFF2CC"/>
            <w:vAlign w:val="bottom"/>
            <w:hideMark/>
          </w:tcPr>
          <w:p w14:paraId="440361FD"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1</w:t>
            </w:r>
          </w:p>
        </w:tc>
        <w:tc>
          <w:tcPr>
            <w:tcW w:w="2951" w:type="dxa"/>
            <w:tcBorders>
              <w:top w:val="nil"/>
              <w:left w:val="nil"/>
              <w:bottom w:val="single" w:sz="4" w:space="0" w:color="auto"/>
              <w:right w:val="single" w:sz="4" w:space="0" w:color="auto"/>
            </w:tcBorders>
            <w:shd w:val="clear" w:color="000000" w:fill="FFF2CC"/>
            <w:vAlign w:val="bottom"/>
            <w:hideMark/>
          </w:tcPr>
          <w:p w14:paraId="50D2FECD"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Reporting Phase in CA</w:t>
            </w:r>
          </w:p>
        </w:tc>
        <w:tc>
          <w:tcPr>
            <w:tcW w:w="4228" w:type="dxa"/>
            <w:tcBorders>
              <w:top w:val="nil"/>
              <w:left w:val="nil"/>
              <w:bottom w:val="single" w:sz="4" w:space="0" w:color="auto"/>
              <w:right w:val="single" w:sz="4" w:space="0" w:color="auto"/>
            </w:tcBorders>
            <w:shd w:val="clear" w:color="000000" w:fill="FFF2CC"/>
            <w:vAlign w:val="bottom"/>
            <w:hideMark/>
          </w:tcPr>
          <w:p w14:paraId="4985DAC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Report data and improvement strategies using Report Templates in CA. Share results with key constituents. Submit for next level review and select "Ready for Review" in CA.</w:t>
            </w:r>
          </w:p>
        </w:tc>
        <w:tc>
          <w:tcPr>
            <w:tcW w:w="2252" w:type="dxa"/>
            <w:tcBorders>
              <w:top w:val="nil"/>
              <w:left w:val="nil"/>
              <w:bottom w:val="single" w:sz="4" w:space="0" w:color="auto"/>
              <w:right w:val="single" w:sz="4" w:space="0" w:color="auto"/>
            </w:tcBorders>
            <w:shd w:val="clear" w:color="000000" w:fill="FFF2CC"/>
            <w:vAlign w:val="bottom"/>
            <w:hideMark/>
          </w:tcPr>
          <w:p w14:paraId="2F272278"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000000" w:fill="FFF2CC"/>
            <w:vAlign w:val="bottom"/>
            <w:hideMark/>
          </w:tcPr>
          <w:p w14:paraId="0B621A15"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7/1/17-10/31/17</w:t>
            </w:r>
          </w:p>
        </w:tc>
      </w:tr>
      <w:tr w:rsidR="00250DD4" w:rsidRPr="00250DD4" w14:paraId="03ADCF6E" w14:textId="77777777" w:rsidTr="000B710E">
        <w:trPr>
          <w:trHeight w:val="620"/>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0D5DDB31"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1</w:t>
            </w:r>
          </w:p>
        </w:tc>
        <w:tc>
          <w:tcPr>
            <w:tcW w:w="2951" w:type="dxa"/>
            <w:tcBorders>
              <w:top w:val="nil"/>
              <w:left w:val="nil"/>
              <w:bottom w:val="single" w:sz="4" w:space="0" w:color="auto"/>
              <w:right w:val="single" w:sz="4" w:space="0" w:color="auto"/>
            </w:tcBorders>
            <w:shd w:val="clear" w:color="auto" w:fill="auto"/>
            <w:vAlign w:val="bottom"/>
            <w:hideMark/>
          </w:tcPr>
          <w:p w14:paraId="64AE96FA"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Review Phase</w:t>
            </w:r>
          </w:p>
        </w:tc>
        <w:tc>
          <w:tcPr>
            <w:tcW w:w="4228" w:type="dxa"/>
            <w:tcBorders>
              <w:top w:val="nil"/>
              <w:left w:val="nil"/>
              <w:bottom w:val="single" w:sz="4" w:space="0" w:color="auto"/>
              <w:right w:val="single" w:sz="4" w:space="0" w:color="auto"/>
            </w:tcBorders>
            <w:shd w:val="clear" w:color="auto" w:fill="auto"/>
            <w:vAlign w:val="bottom"/>
            <w:hideMark/>
          </w:tcPr>
          <w:p w14:paraId="18E2ED28"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Next level review by appropriate office. Once Reports finalized, select "Final" in CA.</w:t>
            </w:r>
          </w:p>
        </w:tc>
        <w:tc>
          <w:tcPr>
            <w:tcW w:w="2252" w:type="dxa"/>
            <w:tcBorders>
              <w:top w:val="nil"/>
              <w:left w:val="nil"/>
              <w:bottom w:val="single" w:sz="4" w:space="0" w:color="auto"/>
              <w:right w:val="single" w:sz="4" w:space="0" w:color="auto"/>
            </w:tcBorders>
            <w:shd w:val="clear" w:color="auto" w:fill="auto"/>
            <w:vAlign w:val="bottom"/>
            <w:hideMark/>
          </w:tcPr>
          <w:p w14:paraId="54B0E66E"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Deans/Division Coordinator</w:t>
            </w:r>
          </w:p>
        </w:tc>
        <w:tc>
          <w:tcPr>
            <w:tcW w:w="2469" w:type="dxa"/>
            <w:tcBorders>
              <w:top w:val="nil"/>
              <w:left w:val="nil"/>
              <w:bottom w:val="single" w:sz="4" w:space="0" w:color="auto"/>
              <w:right w:val="single" w:sz="4" w:space="0" w:color="auto"/>
            </w:tcBorders>
            <w:shd w:val="clear" w:color="auto" w:fill="auto"/>
            <w:vAlign w:val="bottom"/>
            <w:hideMark/>
          </w:tcPr>
          <w:p w14:paraId="2184EE11"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11/1/17-12/31/17</w:t>
            </w:r>
          </w:p>
        </w:tc>
      </w:tr>
      <w:tr w:rsidR="00250DD4" w:rsidRPr="00250DD4" w14:paraId="0306AAB1" w14:textId="77777777" w:rsidTr="000B710E">
        <w:trPr>
          <w:trHeight w:val="358"/>
        </w:trPr>
        <w:tc>
          <w:tcPr>
            <w:tcW w:w="984" w:type="dxa"/>
            <w:tcBorders>
              <w:top w:val="nil"/>
              <w:left w:val="single" w:sz="4" w:space="0" w:color="auto"/>
              <w:bottom w:val="single" w:sz="4" w:space="0" w:color="auto"/>
              <w:right w:val="single" w:sz="4" w:space="0" w:color="auto"/>
            </w:tcBorders>
            <w:shd w:val="clear" w:color="000000" w:fill="FFF2CC"/>
            <w:vAlign w:val="bottom"/>
            <w:hideMark/>
          </w:tcPr>
          <w:p w14:paraId="3DFB6CDA"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1</w:t>
            </w:r>
          </w:p>
        </w:tc>
        <w:tc>
          <w:tcPr>
            <w:tcW w:w="2951" w:type="dxa"/>
            <w:tcBorders>
              <w:top w:val="nil"/>
              <w:left w:val="nil"/>
              <w:bottom w:val="single" w:sz="4" w:space="0" w:color="auto"/>
              <w:right w:val="single" w:sz="4" w:space="0" w:color="auto"/>
            </w:tcBorders>
            <w:shd w:val="clear" w:color="000000" w:fill="FFF2CC"/>
            <w:vAlign w:val="bottom"/>
            <w:hideMark/>
          </w:tcPr>
          <w:p w14:paraId="718BC261"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Peer Review</w:t>
            </w:r>
          </w:p>
        </w:tc>
        <w:tc>
          <w:tcPr>
            <w:tcW w:w="4228" w:type="dxa"/>
            <w:tcBorders>
              <w:top w:val="nil"/>
              <w:left w:val="nil"/>
              <w:bottom w:val="single" w:sz="4" w:space="0" w:color="auto"/>
              <w:right w:val="single" w:sz="4" w:space="0" w:color="auto"/>
            </w:tcBorders>
            <w:shd w:val="clear" w:color="000000" w:fill="FFF2CC"/>
            <w:vAlign w:val="bottom"/>
            <w:hideMark/>
          </w:tcPr>
          <w:p w14:paraId="19AD059E"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Review data and results by assessment peers.</w:t>
            </w:r>
          </w:p>
        </w:tc>
        <w:tc>
          <w:tcPr>
            <w:tcW w:w="2252" w:type="dxa"/>
            <w:tcBorders>
              <w:top w:val="nil"/>
              <w:left w:val="nil"/>
              <w:bottom w:val="single" w:sz="4" w:space="0" w:color="auto"/>
              <w:right w:val="single" w:sz="4" w:space="0" w:color="auto"/>
            </w:tcBorders>
            <w:shd w:val="clear" w:color="000000" w:fill="FFF2CC"/>
            <w:vAlign w:val="bottom"/>
            <w:hideMark/>
          </w:tcPr>
          <w:p w14:paraId="1DBD33F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Assessment Peers</w:t>
            </w:r>
          </w:p>
        </w:tc>
        <w:tc>
          <w:tcPr>
            <w:tcW w:w="2469" w:type="dxa"/>
            <w:tcBorders>
              <w:top w:val="nil"/>
              <w:left w:val="nil"/>
              <w:bottom w:val="single" w:sz="4" w:space="0" w:color="auto"/>
              <w:right w:val="single" w:sz="4" w:space="0" w:color="auto"/>
            </w:tcBorders>
            <w:shd w:val="clear" w:color="000000" w:fill="FFF2CC"/>
            <w:vAlign w:val="bottom"/>
            <w:hideMark/>
          </w:tcPr>
          <w:p w14:paraId="7E7FAC6C"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1/1/18-1/31/18</w:t>
            </w:r>
          </w:p>
        </w:tc>
      </w:tr>
      <w:tr w:rsidR="00250DD4" w:rsidRPr="00250DD4" w14:paraId="7E9F6971" w14:textId="77777777" w:rsidTr="00250DD4">
        <w:trPr>
          <w:trHeight w:val="537"/>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31CEFABB"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2</w:t>
            </w:r>
          </w:p>
        </w:tc>
        <w:tc>
          <w:tcPr>
            <w:tcW w:w="2951" w:type="dxa"/>
            <w:tcBorders>
              <w:top w:val="nil"/>
              <w:left w:val="nil"/>
              <w:bottom w:val="single" w:sz="4" w:space="0" w:color="auto"/>
              <w:right w:val="single" w:sz="4" w:space="0" w:color="auto"/>
            </w:tcBorders>
            <w:shd w:val="clear" w:color="auto" w:fill="auto"/>
            <w:vAlign w:val="bottom"/>
            <w:hideMark/>
          </w:tcPr>
          <w:p w14:paraId="6C7594C6"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Overview Updates Finalized in CA</w:t>
            </w:r>
          </w:p>
        </w:tc>
        <w:tc>
          <w:tcPr>
            <w:tcW w:w="4228" w:type="dxa"/>
            <w:tcBorders>
              <w:top w:val="nil"/>
              <w:left w:val="nil"/>
              <w:bottom w:val="single" w:sz="4" w:space="0" w:color="auto"/>
              <w:right w:val="single" w:sz="4" w:space="0" w:color="auto"/>
            </w:tcBorders>
            <w:shd w:val="clear" w:color="auto" w:fill="auto"/>
            <w:vAlign w:val="bottom"/>
            <w:hideMark/>
          </w:tcPr>
          <w:p w14:paraId="75D973A7"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Updates to Overview for next collection cycle finalized in CA.</w:t>
            </w:r>
          </w:p>
        </w:tc>
        <w:tc>
          <w:tcPr>
            <w:tcW w:w="2252" w:type="dxa"/>
            <w:tcBorders>
              <w:top w:val="nil"/>
              <w:left w:val="nil"/>
              <w:bottom w:val="single" w:sz="4" w:space="0" w:color="auto"/>
              <w:right w:val="single" w:sz="4" w:space="0" w:color="auto"/>
            </w:tcBorders>
            <w:shd w:val="clear" w:color="auto" w:fill="auto"/>
            <w:vAlign w:val="bottom"/>
            <w:hideMark/>
          </w:tcPr>
          <w:p w14:paraId="3236B41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auto" w:fill="auto"/>
            <w:vAlign w:val="bottom"/>
            <w:hideMark/>
          </w:tcPr>
          <w:p w14:paraId="77A7E23E"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6/30/2017</w:t>
            </w:r>
          </w:p>
        </w:tc>
      </w:tr>
      <w:tr w:rsidR="00250DD4" w:rsidRPr="00250DD4" w14:paraId="7965A552" w14:textId="77777777" w:rsidTr="000B710E">
        <w:trPr>
          <w:trHeight w:val="358"/>
        </w:trPr>
        <w:tc>
          <w:tcPr>
            <w:tcW w:w="984" w:type="dxa"/>
            <w:tcBorders>
              <w:top w:val="nil"/>
              <w:left w:val="single" w:sz="4" w:space="0" w:color="auto"/>
              <w:bottom w:val="single" w:sz="4" w:space="0" w:color="auto"/>
              <w:right w:val="single" w:sz="4" w:space="0" w:color="auto"/>
            </w:tcBorders>
            <w:shd w:val="clear" w:color="000000" w:fill="FFF2CC"/>
            <w:vAlign w:val="bottom"/>
            <w:hideMark/>
          </w:tcPr>
          <w:p w14:paraId="449D1D3F"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2</w:t>
            </w:r>
          </w:p>
        </w:tc>
        <w:tc>
          <w:tcPr>
            <w:tcW w:w="2951" w:type="dxa"/>
            <w:tcBorders>
              <w:top w:val="nil"/>
              <w:left w:val="nil"/>
              <w:bottom w:val="single" w:sz="4" w:space="0" w:color="auto"/>
              <w:right w:val="single" w:sz="4" w:space="0" w:color="auto"/>
            </w:tcBorders>
            <w:shd w:val="clear" w:color="000000" w:fill="FFF2CC"/>
            <w:vAlign w:val="bottom"/>
            <w:hideMark/>
          </w:tcPr>
          <w:p w14:paraId="5A77C3D7"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Data Collection and Analysis</w:t>
            </w:r>
          </w:p>
        </w:tc>
        <w:tc>
          <w:tcPr>
            <w:tcW w:w="4228" w:type="dxa"/>
            <w:tcBorders>
              <w:top w:val="nil"/>
              <w:left w:val="nil"/>
              <w:bottom w:val="single" w:sz="4" w:space="0" w:color="auto"/>
              <w:right w:val="single" w:sz="4" w:space="0" w:color="auto"/>
            </w:tcBorders>
            <w:shd w:val="clear" w:color="000000" w:fill="FFF2CC"/>
            <w:vAlign w:val="bottom"/>
            <w:hideMark/>
          </w:tcPr>
          <w:p w14:paraId="3FA0F3A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Collection of data and analysis of results.</w:t>
            </w:r>
          </w:p>
        </w:tc>
        <w:tc>
          <w:tcPr>
            <w:tcW w:w="2252" w:type="dxa"/>
            <w:tcBorders>
              <w:top w:val="nil"/>
              <w:left w:val="nil"/>
              <w:bottom w:val="single" w:sz="4" w:space="0" w:color="auto"/>
              <w:right w:val="single" w:sz="4" w:space="0" w:color="auto"/>
            </w:tcBorders>
            <w:shd w:val="clear" w:color="000000" w:fill="FFF2CC"/>
            <w:vAlign w:val="bottom"/>
            <w:hideMark/>
          </w:tcPr>
          <w:p w14:paraId="1CB06B18"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000000" w:fill="FFF2CC"/>
            <w:vAlign w:val="bottom"/>
            <w:hideMark/>
          </w:tcPr>
          <w:p w14:paraId="3709433F"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7/1/17-6/30/18</w:t>
            </w:r>
          </w:p>
        </w:tc>
      </w:tr>
      <w:tr w:rsidR="00250DD4" w:rsidRPr="00250DD4" w14:paraId="78EEA98F" w14:textId="77777777" w:rsidTr="000B710E">
        <w:trPr>
          <w:trHeight w:val="1133"/>
        </w:trPr>
        <w:tc>
          <w:tcPr>
            <w:tcW w:w="984" w:type="dxa"/>
            <w:tcBorders>
              <w:top w:val="nil"/>
              <w:left w:val="single" w:sz="4" w:space="0" w:color="auto"/>
              <w:bottom w:val="single" w:sz="4" w:space="0" w:color="auto"/>
              <w:right w:val="single" w:sz="4" w:space="0" w:color="auto"/>
            </w:tcBorders>
            <w:shd w:val="clear" w:color="auto" w:fill="auto"/>
            <w:vAlign w:val="bottom"/>
            <w:hideMark/>
          </w:tcPr>
          <w:p w14:paraId="4B842809"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2</w:t>
            </w:r>
          </w:p>
        </w:tc>
        <w:tc>
          <w:tcPr>
            <w:tcW w:w="2951" w:type="dxa"/>
            <w:tcBorders>
              <w:top w:val="nil"/>
              <w:left w:val="nil"/>
              <w:bottom w:val="single" w:sz="4" w:space="0" w:color="auto"/>
              <w:right w:val="single" w:sz="4" w:space="0" w:color="auto"/>
            </w:tcBorders>
            <w:shd w:val="clear" w:color="auto" w:fill="auto"/>
            <w:vAlign w:val="bottom"/>
            <w:hideMark/>
          </w:tcPr>
          <w:p w14:paraId="2800B4D1"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Reporting Phase in CA</w:t>
            </w:r>
          </w:p>
        </w:tc>
        <w:tc>
          <w:tcPr>
            <w:tcW w:w="4228" w:type="dxa"/>
            <w:tcBorders>
              <w:top w:val="nil"/>
              <w:left w:val="nil"/>
              <w:bottom w:val="single" w:sz="4" w:space="0" w:color="auto"/>
              <w:right w:val="single" w:sz="4" w:space="0" w:color="auto"/>
            </w:tcBorders>
            <w:shd w:val="clear" w:color="auto" w:fill="auto"/>
            <w:vAlign w:val="bottom"/>
            <w:hideMark/>
          </w:tcPr>
          <w:p w14:paraId="3E257DB5"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Report data and improvement strategies using Report Templates in CA. Share results with key constituents. Submit for next level review and select "Ready for Review" in CA.</w:t>
            </w:r>
          </w:p>
        </w:tc>
        <w:tc>
          <w:tcPr>
            <w:tcW w:w="2252" w:type="dxa"/>
            <w:tcBorders>
              <w:top w:val="nil"/>
              <w:left w:val="nil"/>
              <w:bottom w:val="single" w:sz="4" w:space="0" w:color="auto"/>
              <w:right w:val="single" w:sz="4" w:space="0" w:color="auto"/>
            </w:tcBorders>
            <w:shd w:val="clear" w:color="auto" w:fill="auto"/>
            <w:vAlign w:val="bottom"/>
            <w:hideMark/>
          </w:tcPr>
          <w:p w14:paraId="3F54630B"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Program/</w:t>
            </w:r>
            <w:proofErr w:type="spellStart"/>
            <w:r w:rsidRPr="00250DD4">
              <w:rPr>
                <w:rFonts w:ascii="Calibri" w:eastAsia="Times New Roman" w:hAnsi="Calibri" w:cs="Times New Roman"/>
                <w:color w:val="000000"/>
              </w:rPr>
              <w:t>Dept</w:t>
            </w:r>
            <w:proofErr w:type="spellEnd"/>
            <w:r w:rsidRPr="00250DD4">
              <w:rPr>
                <w:rFonts w:ascii="Calibri" w:eastAsia="Times New Roman" w:hAnsi="Calibri" w:cs="Times New Roman"/>
                <w:color w:val="000000"/>
              </w:rPr>
              <w:t>/ Unit</w:t>
            </w:r>
          </w:p>
        </w:tc>
        <w:tc>
          <w:tcPr>
            <w:tcW w:w="2469" w:type="dxa"/>
            <w:tcBorders>
              <w:top w:val="nil"/>
              <w:left w:val="nil"/>
              <w:bottom w:val="single" w:sz="4" w:space="0" w:color="auto"/>
              <w:right w:val="single" w:sz="4" w:space="0" w:color="auto"/>
            </w:tcBorders>
            <w:shd w:val="clear" w:color="auto" w:fill="auto"/>
            <w:vAlign w:val="bottom"/>
            <w:hideMark/>
          </w:tcPr>
          <w:p w14:paraId="2368721E"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7/1/18-10/31/18</w:t>
            </w:r>
          </w:p>
        </w:tc>
      </w:tr>
      <w:tr w:rsidR="00250DD4" w:rsidRPr="00250DD4" w14:paraId="46E067BF" w14:textId="77777777" w:rsidTr="000B710E">
        <w:trPr>
          <w:trHeight w:val="620"/>
        </w:trPr>
        <w:tc>
          <w:tcPr>
            <w:tcW w:w="984" w:type="dxa"/>
            <w:tcBorders>
              <w:top w:val="nil"/>
              <w:left w:val="single" w:sz="4" w:space="0" w:color="auto"/>
              <w:bottom w:val="single" w:sz="4" w:space="0" w:color="auto"/>
              <w:right w:val="single" w:sz="4" w:space="0" w:color="auto"/>
            </w:tcBorders>
            <w:shd w:val="clear" w:color="000000" w:fill="FFF2CC"/>
            <w:vAlign w:val="bottom"/>
            <w:hideMark/>
          </w:tcPr>
          <w:p w14:paraId="76EBC9C8"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2</w:t>
            </w:r>
          </w:p>
        </w:tc>
        <w:tc>
          <w:tcPr>
            <w:tcW w:w="2951" w:type="dxa"/>
            <w:tcBorders>
              <w:top w:val="nil"/>
              <w:left w:val="nil"/>
              <w:bottom w:val="single" w:sz="4" w:space="0" w:color="auto"/>
              <w:right w:val="single" w:sz="4" w:space="0" w:color="auto"/>
            </w:tcBorders>
            <w:shd w:val="clear" w:color="000000" w:fill="FFF2CC"/>
            <w:vAlign w:val="bottom"/>
            <w:hideMark/>
          </w:tcPr>
          <w:p w14:paraId="4EA90128"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Review Phase</w:t>
            </w:r>
          </w:p>
        </w:tc>
        <w:tc>
          <w:tcPr>
            <w:tcW w:w="4228" w:type="dxa"/>
            <w:tcBorders>
              <w:top w:val="nil"/>
              <w:left w:val="nil"/>
              <w:bottom w:val="single" w:sz="4" w:space="0" w:color="auto"/>
              <w:right w:val="single" w:sz="4" w:space="0" w:color="auto"/>
            </w:tcBorders>
            <w:shd w:val="clear" w:color="000000" w:fill="FFF2CC"/>
            <w:vAlign w:val="bottom"/>
            <w:hideMark/>
          </w:tcPr>
          <w:p w14:paraId="449E2CFA"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Next level review by appropriate office. Once Reports finalized, select "Final" in CA.</w:t>
            </w:r>
          </w:p>
        </w:tc>
        <w:tc>
          <w:tcPr>
            <w:tcW w:w="2252" w:type="dxa"/>
            <w:tcBorders>
              <w:top w:val="nil"/>
              <w:left w:val="nil"/>
              <w:bottom w:val="single" w:sz="4" w:space="0" w:color="auto"/>
              <w:right w:val="single" w:sz="4" w:space="0" w:color="auto"/>
            </w:tcBorders>
            <w:shd w:val="clear" w:color="000000" w:fill="FFF2CC"/>
            <w:vAlign w:val="bottom"/>
            <w:hideMark/>
          </w:tcPr>
          <w:p w14:paraId="03305DAC"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Deans/Division Coordinator</w:t>
            </w:r>
          </w:p>
        </w:tc>
        <w:tc>
          <w:tcPr>
            <w:tcW w:w="2469" w:type="dxa"/>
            <w:tcBorders>
              <w:top w:val="nil"/>
              <w:left w:val="nil"/>
              <w:bottom w:val="single" w:sz="4" w:space="0" w:color="auto"/>
              <w:right w:val="single" w:sz="4" w:space="0" w:color="auto"/>
            </w:tcBorders>
            <w:shd w:val="clear" w:color="000000" w:fill="FFF2CC"/>
            <w:vAlign w:val="bottom"/>
            <w:hideMark/>
          </w:tcPr>
          <w:p w14:paraId="718643B5"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11/1/18-12/31/18</w:t>
            </w:r>
          </w:p>
        </w:tc>
      </w:tr>
      <w:tr w:rsidR="00250DD4" w:rsidRPr="00250DD4" w14:paraId="0342D601" w14:textId="77777777" w:rsidTr="00250DD4">
        <w:trPr>
          <w:trHeight w:val="358"/>
        </w:trPr>
        <w:tc>
          <w:tcPr>
            <w:tcW w:w="984" w:type="dxa"/>
            <w:tcBorders>
              <w:top w:val="nil"/>
              <w:left w:val="single" w:sz="4" w:space="0" w:color="auto"/>
              <w:bottom w:val="nil"/>
              <w:right w:val="single" w:sz="4" w:space="0" w:color="auto"/>
            </w:tcBorders>
            <w:shd w:val="clear" w:color="auto" w:fill="auto"/>
            <w:vAlign w:val="bottom"/>
            <w:hideMark/>
          </w:tcPr>
          <w:p w14:paraId="29F8F802"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2</w:t>
            </w:r>
          </w:p>
        </w:tc>
        <w:tc>
          <w:tcPr>
            <w:tcW w:w="2951" w:type="dxa"/>
            <w:tcBorders>
              <w:top w:val="nil"/>
              <w:left w:val="nil"/>
              <w:bottom w:val="nil"/>
              <w:right w:val="single" w:sz="4" w:space="0" w:color="auto"/>
            </w:tcBorders>
            <w:shd w:val="clear" w:color="auto" w:fill="auto"/>
            <w:vAlign w:val="bottom"/>
            <w:hideMark/>
          </w:tcPr>
          <w:p w14:paraId="4F4F3499"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Peer Review</w:t>
            </w:r>
          </w:p>
        </w:tc>
        <w:tc>
          <w:tcPr>
            <w:tcW w:w="4228" w:type="dxa"/>
            <w:tcBorders>
              <w:top w:val="nil"/>
              <w:left w:val="nil"/>
              <w:bottom w:val="nil"/>
              <w:right w:val="single" w:sz="4" w:space="0" w:color="auto"/>
            </w:tcBorders>
            <w:shd w:val="clear" w:color="auto" w:fill="auto"/>
            <w:vAlign w:val="bottom"/>
            <w:hideMark/>
          </w:tcPr>
          <w:p w14:paraId="2CA1C38D"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Review data and results by assessment peers.</w:t>
            </w:r>
          </w:p>
        </w:tc>
        <w:tc>
          <w:tcPr>
            <w:tcW w:w="2252" w:type="dxa"/>
            <w:tcBorders>
              <w:top w:val="nil"/>
              <w:left w:val="nil"/>
              <w:bottom w:val="nil"/>
              <w:right w:val="single" w:sz="4" w:space="0" w:color="auto"/>
            </w:tcBorders>
            <w:shd w:val="clear" w:color="auto" w:fill="auto"/>
            <w:vAlign w:val="bottom"/>
            <w:hideMark/>
          </w:tcPr>
          <w:p w14:paraId="54D7B643"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Assessment Peers</w:t>
            </w:r>
          </w:p>
        </w:tc>
        <w:tc>
          <w:tcPr>
            <w:tcW w:w="2469" w:type="dxa"/>
            <w:tcBorders>
              <w:top w:val="nil"/>
              <w:left w:val="nil"/>
              <w:bottom w:val="nil"/>
              <w:right w:val="single" w:sz="4" w:space="0" w:color="auto"/>
            </w:tcBorders>
            <w:shd w:val="clear" w:color="auto" w:fill="auto"/>
            <w:vAlign w:val="bottom"/>
            <w:hideMark/>
          </w:tcPr>
          <w:p w14:paraId="72781176"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1/1/19-1/31/19</w:t>
            </w:r>
          </w:p>
        </w:tc>
      </w:tr>
      <w:tr w:rsidR="00250DD4" w:rsidRPr="00250DD4" w14:paraId="11430D8F" w14:textId="77777777" w:rsidTr="000B710E">
        <w:trPr>
          <w:trHeight w:val="178"/>
        </w:trPr>
        <w:tc>
          <w:tcPr>
            <w:tcW w:w="984"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36189AD6"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 </w:t>
            </w:r>
          </w:p>
        </w:tc>
        <w:tc>
          <w:tcPr>
            <w:tcW w:w="2951" w:type="dxa"/>
            <w:tcBorders>
              <w:top w:val="single" w:sz="4" w:space="0" w:color="auto"/>
              <w:left w:val="nil"/>
              <w:bottom w:val="single" w:sz="4" w:space="0" w:color="auto"/>
              <w:right w:val="single" w:sz="4" w:space="0" w:color="auto"/>
            </w:tcBorders>
            <w:shd w:val="clear" w:color="000000" w:fill="FFE699"/>
            <w:noWrap/>
            <w:vAlign w:val="bottom"/>
            <w:hideMark/>
          </w:tcPr>
          <w:p w14:paraId="68F8DF9B" w14:textId="77777777" w:rsidR="00250DD4" w:rsidRPr="00250DD4" w:rsidRDefault="00250DD4" w:rsidP="00250DD4">
            <w:pPr>
              <w:spacing w:after="0" w:line="240" w:lineRule="auto"/>
              <w:jc w:val="center"/>
              <w:rPr>
                <w:rFonts w:ascii="Calibri" w:eastAsia="Times New Roman" w:hAnsi="Calibri" w:cs="Times New Roman"/>
                <w:color w:val="000000"/>
              </w:rPr>
            </w:pPr>
            <w:r w:rsidRPr="00250DD4">
              <w:rPr>
                <w:rFonts w:ascii="Calibri" w:eastAsia="Times New Roman" w:hAnsi="Calibri" w:cs="Times New Roman"/>
                <w:color w:val="000000"/>
              </w:rPr>
              <w:t> </w:t>
            </w:r>
          </w:p>
        </w:tc>
        <w:tc>
          <w:tcPr>
            <w:tcW w:w="4228" w:type="dxa"/>
            <w:tcBorders>
              <w:top w:val="single" w:sz="4" w:space="0" w:color="auto"/>
              <w:left w:val="nil"/>
              <w:bottom w:val="single" w:sz="4" w:space="0" w:color="auto"/>
              <w:right w:val="single" w:sz="4" w:space="0" w:color="auto"/>
            </w:tcBorders>
            <w:shd w:val="clear" w:color="000000" w:fill="FFE699"/>
            <w:noWrap/>
            <w:vAlign w:val="bottom"/>
            <w:hideMark/>
          </w:tcPr>
          <w:p w14:paraId="2EA72250"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 </w:t>
            </w:r>
          </w:p>
        </w:tc>
        <w:tc>
          <w:tcPr>
            <w:tcW w:w="2252" w:type="dxa"/>
            <w:tcBorders>
              <w:top w:val="single" w:sz="4" w:space="0" w:color="auto"/>
              <w:left w:val="nil"/>
              <w:bottom w:val="single" w:sz="4" w:space="0" w:color="auto"/>
              <w:right w:val="single" w:sz="4" w:space="0" w:color="auto"/>
            </w:tcBorders>
            <w:shd w:val="clear" w:color="000000" w:fill="FFE699"/>
            <w:vAlign w:val="bottom"/>
            <w:hideMark/>
          </w:tcPr>
          <w:p w14:paraId="5CDC2B35"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 </w:t>
            </w:r>
          </w:p>
        </w:tc>
        <w:tc>
          <w:tcPr>
            <w:tcW w:w="2469" w:type="dxa"/>
            <w:tcBorders>
              <w:top w:val="single" w:sz="4" w:space="0" w:color="auto"/>
              <w:left w:val="nil"/>
              <w:bottom w:val="single" w:sz="4" w:space="0" w:color="auto"/>
              <w:right w:val="single" w:sz="4" w:space="0" w:color="auto"/>
            </w:tcBorders>
            <w:shd w:val="clear" w:color="000000" w:fill="FFE699"/>
            <w:noWrap/>
            <w:vAlign w:val="bottom"/>
            <w:hideMark/>
          </w:tcPr>
          <w:p w14:paraId="0572696C" w14:textId="77777777" w:rsidR="00250DD4" w:rsidRPr="00250DD4" w:rsidRDefault="00250DD4" w:rsidP="00250DD4">
            <w:pPr>
              <w:spacing w:after="0" w:line="240" w:lineRule="auto"/>
              <w:rPr>
                <w:rFonts w:ascii="Calibri" w:eastAsia="Times New Roman" w:hAnsi="Calibri" w:cs="Times New Roman"/>
                <w:color w:val="000000"/>
              </w:rPr>
            </w:pPr>
            <w:r w:rsidRPr="00250DD4">
              <w:rPr>
                <w:rFonts w:ascii="Calibri" w:eastAsia="Times New Roman" w:hAnsi="Calibri" w:cs="Times New Roman"/>
                <w:color w:val="000000"/>
              </w:rPr>
              <w:t> </w:t>
            </w:r>
          </w:p>
        </w:tc>
      </w:tr>
    </w:tbl>
    <w:p w14:paraId="399BCF6C" w14:textId="77777777" w:rsidR="00250DD4" w:rsidRDefault="00250DD4" w:rsidP="00B61D54">
      <w:pPr>
        <w:rPr>
          <w:b/>
        </w:rPr>
      </w:pPr>
    </w:p>
    <w:p w14:paraId="5CC72F0C" w14:textId="48A0E06C" w:rsidR="00250DD4" w:rsidRPr="000B710E" w:rsidRDefault="00250DD4" w:rsidP="00B61D54">
      <w:pPr>
        <w:sectPr w:rsidR="00250DD4" w:rsidRPr="000B710E" w:rsidSect="000B710E">
          <w:pgSz w:w="15840" w:h="12240" w:orient="landscape"/>
          <w:pgMar w:top="1440" w:right="1440" w:bottom="1440" w:left="1440" w:header="720" w:footer="720" w:gutter="0"/>
          <w:cols w:space="720"/>
          <w:docGrid w:linePitch="360"/>
        </w:sectPr>
      </w:pPr>
      <w:r w:rsidRPr="000B710E">
        <w:t xml:space="preserve">The following page includes a depiction of two assessment cycles. </w:t>
      </w:r>
    </w:p>
    <w:p w14:paraId="64B58CEB" w14:textId="56E41EF4" w:rsidR="00B61D54" w:rsidRDefault="00B61D54" w:rsidP="00B61D54">
      <w:pPr>
        <w:rPr>
          <w:b/>
        </w:rPr>
      </w:pPr>
      <w:r>
        <w:rPr>
          <w:b/>
        </w:rPr>
        <w:lastRenderedPageBreak/>
        <w:t xml:space="preserve">Attachment </w:t>
      </w:r>
      <w:r w:rsidR="000B710E">
        <w:rPr>
          <w:b/>
        </w:rPr>
        <w:t>D</w:t>
      </w:r>
      <w:r>
        <w:rPr>
          <w:b/>
        </w:rPr>
        <w:t xml:space="preserve"> - </w:t>
      </w:r>
      <w:r w:rsidRPr="00B61D54">
        <w:rPr>
          <w:b/>
        </w:rPr>
        <w:t xml:space="preserve">TU Assessment Cycle -Schedule of Responsibilities </w:t>
      </w:r>
      <w:r w:rsidR="00DF2951">
        <w:rPr>
          <w:b/>
        </w:rPr>
        <w:t>2015</w:t>
      </w:r>
      <w:r w:rsidR="004A3991">
        <w:rPr>
          <w:b/>
        </w:rPr>
        <w:t>-2016</w:t>
      </w:r>
    </w:p>
    <w:p w14:paraId="57FCF938" w14:textId="015F4630" w:rsidR="00D779C0" w:rsidRDefault="00D779C0" w:rsidP="00B61D54">
      <w:r>
        <w:object w:dxaOrig="24420" w:dyaOrig="6000" w14:anchorId="41B99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25pt;height:159pt" o:ole="">
            <v:imagedata r:id="rId13" o:title=""/>
          </v:shape>
          <o:OLEObject Type="Embed" ProgID="Visio.Drawing.15" ShapeID="_x0000_i1025" DrawAspect="Content" ObjectID="_1503924675" r:id="rId14"/>
        </w:object>
      </w:r>
    </w:p>
    <w:p w14:paraId="285CF192" w14:textId="77777777" w:rsidR="005E7E54" w:rsidRDefault="005E7E54" w:rsidP="00B61D54"/>
    <w:p w14:paraId="10AC3440" w14:textId="77777777" w:rsidR="005E7E54" w:rsidRDefault="005E7E54" w:rsidP="00B61D54"/>
    <w:p w14:paraId="395D364B" w14:textId="77777777" w:rsidR="005E7E54" w:rsidRDefault="005E7E54" w:rsidP="00B61D54"/>
    <w:p w14:paraId="47F8BA2E" w14:textId="77777777" w:rsidR="005E7E54" w:rsidRDefault="005E7E54" w:rsidP="00B61D54"/>
    <w:p w14:paraId="2C0B55DF" w14:textId="77777777" w:rsidR="005E7E54" w:rsidRDefault="005E7E54" w:rsidP="00B61D54"/>
    <w:p w14:paraId="49EA19B6" w14:textId="77777777" w:rsidR="005E7E54" w:rsidRDefault="005E7E54" w:rsidP="00B61D54"/>
    <w:p w14:paraId="34E942D2" w14:textId="77777777" w:rsidR="005E7E54" w:rsidRDefault="005E7E54" w:rsidP="00B61D54"/>
    <w:p w14:paraId="73B534BF" w14:textId="77777777" w:rsidR="005E7E54" w:rsidRDefault="005E7E54" w:rsidP="00B61D54"/>
    <w:p w14:paraId="09B58803" w14:textId="77777777" w:rsidR="005E7E54" w:rsidRDefault="005E7E54" w:rsidP="00B61D54"/>
    <w:p w14:paraId="142FA20D" w14:textId="77777777" w:rsidR="005E7E54" w:rsidRDefault="005E7E54" w:rsidP="00B61D54"/>
    <w:p w14:paraId="03CB694E" w14:textId="1955DC68" w:rsidR="003F2037" w:rsidRDefault="003F2037" w:rsidP="00F67CC0">
      <w:pPr>
        <w:spacing w:after="0"/>
        <w:rPr>
          <w:b/>
        </w:rPr>
      </w:pPr>
    </w:p>
    <w:p w14:paraId="79CF62EA" w14:textId="77777777" w:rsidR="00250DD4" w:rsidRDefault="00250DD4">
      <w:pPr>
        <w:rPr>
          <w:b/>
        </w:rPr>
        <w:sectPr w:rsidR="00250DD4" w:rsidSect="00250DD4">
          <w:pgSz w:w="15840" w:h="12240" w:orient="landscape"/>
          <w:pgMar w:top="1440" w:right="1440" w:bottom="1440" w:left="1440" w:header="720" w:footer="720" w:gutter="0"/>
          <w:cols w:space="720"/>
          <w:docGrid w:linePitch="360"/>
        </w:sectPr>
      </w:pPr>
    </w:p>
    <w:p w14:paraId="115FD61F" w14:textId="592146F2" w:rsidR="003F2037" w:rsidRDefault="003F2037">
      <w:pPr>
        <w:rPr>
          <w:b/>
        </w:rPr>
      </w:pPr>
      <w:r>
        <w:rPr>
          <w:b/>
        </w:rPr>
        <w:lastRenderedPageBreak/>
        <w:t xml:space="preserve">Attachment </w:t>
      </w:r>
      <w:r w:rsidR="000B710E">
        <w:rPr>
          <w:b/>
        </w:rPr>
        <w: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108"/>
        <w:gridCol w:w="3242"/>
      </w:tblGrid>
      <w:tr w:rsidR="003F2037" w:rsidRPr="00A77EA1" w14:paraId="1DD66AF0" w14:textId="77777777" w:rsidTr="005C584B">
        <w:tc>
          <w:tcPr>
            <w:tcW w:w="15036" w:type="dxa"/>
            <w:gridSpan w:val="2"/>
          </w:tcPr>
          <w:p w14:paraId="4E25DE85" w14:textId="5E199613" w:rsidR="003F2037" w:rsidRPr="005D497A" w:rsidRDefault="003F2037" w:rsidP="000B710E">
            <w:pPr>
              <w:pStyle w:val="Heading1"/>
              <w:tabs>
                <w:tab w:val="left" w:pos="4125"/>
                <w:tab w:val="center" w:pos="7410"/>
              </w:tabs>
              <w:spacing w:before="0"/>
              <w:jc w:val="center"/>
              <w:outlineLvl w:val="0"/>
              <w:rPr>
                <w:rFonts w:asciiTheme="minorHAnsi" w:hAnsiTheme="minorHAnsi"/>
                <w:color w:val="auto"/>
                <w:sz w:val="24"/>
                <w:szCs w:val="24"/>
              </w:rPr>
            </w:pPr>
            <w:r w:rsidRPr="005D497A">
              <w:rPr>
                <w:rFonts w:asciiTheme="minorHAnsi" w:hAnsiTheme="minorHAnsi"/>
                <w:color w:val="auto"/>
                <w:sz w:val="24"/>
                <w:szCs w:val="24"/>
              </w:rPr>
              <w:t>Peer Review Feedback Form for Annual Assessment Reports and Presentations</w:t>
            </w:r>
          </w:p>
        </w:tc>
      </w:tr>
      <w:tr w:rsidR="003F2037" w:rsidRPr="00A77EA1" w14:paraId="0E9329AA" w14:textId="77777777" w:rsidTr="005C584B">
        <w:tc>
          <w:tcPr>
            <w:tcW w:w="10024" w:type="dxa"/>
          </w:tcPr>
          <w:p w14:paraId="45D12BC4" w14:textId="77777777" w:rsidR="003F2037" w:rsidRPr="00A77EA1" w:rsidRDefault="003F2037" w:rsidP="005C584B">
            <w:pPr>
              <w:pStyle w:val="Heading1"/>
              <w:spacing w:before="0"/>
              <w:outlineLvl w:val="0"/>
              <w:rPr>
                <w:rFonts w:asciiTheme="minorHAnsi" w:eastAsia="Times New Roman" w:hAnsiTheme="minorHAnsi"/>
                <w:color w:val="auto"/>
                <w:sz w:val="20"/>
                <w:szCs w:val="20"/>
                <w:u w:val="single"/>
              </w:rPr>
            </w:pPr>
            <w:r>
              <w:rPr>
                <w:rFonts w:asciiTheme="minorHAnsi" w:hAnsiTheme="minorHAnsi"/>
                <w:color w:val="auto"/>
                <w:sz w:val="20"/>
                <w:szCs w:val="20"/>
              </w:rPr>
              <w:t>Unit</w:t>
            </w:r>
            <w:r w:rsidRPr="00A77EA1">
              <w:rPr>
                <w:rFonts w:asciiTheme="minorHAnsi" w:hAnsiTheme="minorHAnsi"/>
                <w:color w:val="auto"/>
                <w:sz w:val="20"/>
                <w:szCs w:val="20"/>
              </w:rPr>
              <w:t xml:space="preserve">:                                                                                </w:t>
            </w:r>
          </w:p>
        </w:tc>
        <w:tc>
          <w:tcPr>
            <w:tcW w:w="5012" w:type="dxa"/>
          </w:tcPr>
          <w:p w14:paraId="0488C8FC" w14:textId="77777777" w:rsidR="003F2037" w:rsidRPr="00A77EA1" w:rsidRDefault="003F2037" w:rsidP="005C584B">
            <w:pPr>
              <w:pStyle w:val="Heading1"/>
              <w:spacing w:before="0"/>
              <w:outlineLvl w:val="0"/>
              <w:rPr>
                <w:rFonts w:asciiTheme="minorHAnsi" w:eastAsia="Times New Roman" w:hAnsiTheme="minorHAnsi"/>
                <w:color w:val="auto"/>
                <w:sz w:val="20"/>
                <w:szCs w:val="20"/>
                <w:u w:val="single"/>
              </w:rPr>
            </w:pPr>
            <w:r>
              <w:rPr>
                <w:rFonts w:asciiTheme="minorHAnsi" w:hAnsiTheme="minorHAnsi"/>
                <w:color w:val="auto"/>
                <w:sz w:val="20"/>
                <w:szCs w:val="20"/>
              </w:rPr>
              <w:t xml:space="preserve">Report Year: </w:t>
            </w:r>
          </w:p>
        </w:tc>
      </w:tr>
    </w:tbl>
    <w:p w14:paraId="3EB2287D" w14:textId="77777777" w:rsidR="003F2037" w:rsidRPr="001C6198" w:rsidRDefault="003F2037" w:rsidP="003F2037">
      <w:pPr>
        <w:spacing w:after="0" w:line="240" w:lineRule="auto"/>
        <w:rPr>
          <w:sz w:val="20"/>
          <w:szCs w:val="20"/>
        </w:rPr>
      </w:pPr>
    </w:p>
    <w:tbl>
      <w:tblPr>
        <w:tblStyle w:val="TableGrid"/>
        <w:tblW w:w="5000" w:type="pct"/>
        <w:tblLook w:val="04A0" w:firstRow="1" w:lastRow="0" w:firstColumn="1" w:lastColumn="0" w:noHBand="0" w:noVBand="1"/>
      </w:tblPr>
      <w:tblGrid>
        <w:gridCol w:w="1434"/>
        <w:gridCol w:w="657"/>
        <w:gridCol w:w="395"/>
        <w:gridCol w:w="1754"/>
        <w:gridCol w:w="395"/>
        <w:gridCol w:w="1646"/>
        <w:gridCol w:w="395"/>
        <w:gridCol w:w="1506"/>
        <w:gridCol w:w="395"/>
        <w:gridCol w:w="773"/>
      </w:tblGrid>
      <w:tr w:rsidR="003F2037" w:rsidRPr="00A77EA1" w14:paraId="62D2E436" w14:textId="77777777" w:rsidTr="005C584B">
        <w:trPr>
          <w:trHeight w:val="20"/>
        </w:trPr>
        <w:tc>
          <w:tcPr>
            <w:tcW w:w="510" w:type="pct"/>
            <w:tcBorders>
              <w:bottom w:val="single" w:sz="4" w:space="0" w:color="auto"/>
              <w:right w:val="single" w:sz="4" w:space="0" w:color="auto"/>
            </w:tcBorders>
            <w:shd w:val="clear" w:color="auto" w:fill="auto"/>
          </w:tcPr>
          <w:p w14:paraId="53C8130F" w14:textId="77777777" w:rsidR="003F2037" w:rsidRPr="00A77EA1" w:rsidRDefault="003F2037" w:rsidP="005C584B">
            <w:pPr>
              <w:autoSpaceDE w:val="0"/>
              <w:autoSpaceDN w:val="0"/>
              <w:adjustRightInd w:val="0"/>
              <w:ind w:right="35"/>
              <w:jc w:val="center"/>
              <w:rPr>
                <w:rFonts w:ascii="Arial Narrow" w:hAnsi="Arial Narrow" w:cs="Times New Roman"/>
                <w:b/>
                <w:color w:val="000000"/>
                <w:sz w:val="20"/>
                <w:szCs w:val="20"/>
              </w:rPr>
            </w:pPr>
          </w:p>
        </w:tc>
        <w:tc>
          <w:tcPr>
            <w:tcW w:w="521" w:type="pct"/>
            <w:tcBorders>
              <w:top w:val="single" w:sz="4" w:space="0" w:color="auto"/>
              <w:left w:val="single" w:sz="4" w:space="0" w:color="auto"/>
              <w:bottom w:val="single" w:sz="4" w:space="0" w:color="auto"/>
              <w:right w:val="nil"/>
            </w:tcBorders>
          </w:tcPr>
          <w:p w14:paraId="3D900383" w14:textId="77777777" w:rsidR="003F2037" w:rsidRPr="00A77EA1" w:rsidRDefault="003F2037" w:rsidP="005C584B">
            <w:pPr>
              <w:jc w:val="center"/>
              <w:rPr>
                <w:rFonts w:ascii="Arial Narrow" w:hAnsi="Arial Narrow"/>
                <w:b/>
                <w:sz w:val="20"/>
                <w:szCs w:val="20"/>
              </w:rPr>
            </w:pPr>
            <w:r w:rsidRPr="00A77EA1">
              <w:rPr>
                <w:rFonts w:ascii="Arial Narrow" w:hAnsi="Arial Narrow"/>
                <w:b/>
                <w:sz w:val="20"/>
                <w:szCs w:val="20"/>
              </w:rPr>
              <w:t>Not Able to Rate (NR)</w:t>
            </w:r>
          </w:p>
        </w:tc>
        <w:tc>
          <w:tcPr>
            <w:tcW w:w="140" w:type="pct"/>
            <w:tcBorders>
              <w:top w:val="single" w:sz="4" w:space="0" w:color="auto"/>
              <w:left w:val="nil"/>
              <w:bottom w:val="single" w:sz="4" w:space="0" w:color="auto"/>
              <w:right w:val="single" w:sz="4" w:space="0" w:color="auto"/>
            </w:tcBorders>
          </w:tcPr>
          <w:p w14:paraId="58E382FE" w14:textId="77777777" w:rsidR="003F2037" w:rsidRPr="00A77EA1" w:rsidRDefault="003F2037" w:rsidP="005C584B">
            <w:pPr>
              <w:jc w:val="center"/>
              <w:rPr>
                <w:rFonts w:ascii="Arial Narrow" w:hAnsi="Arial Narrow" w:cs="Times New Roman"/>
                <w:sz w:val="20"/>
                <w:szCs w:val="20"/>
              </w:rPr>
            </w:pPr>
          </w:p>
        </w:tc>
        <w:tc>
          <w:tcPr>
            <w:tcW w:w="1057" w:type="pct"/>
            <w:tcBorders>
              <w:top w:val="single" w:sz="4" w:space="0" w:color="auto"/>
              <w:left w:val="single" w:sz="4" w:space="0" w:color="auto"/>
              <w:bottom w:val="single" w:sz="4" w:space="0" w:color="auto"/>
              <w:right w:val="nil"/>
            </w:tcBorders>
            <w:shd w:val="clear" w:color="auto" w:fill="auto"/>
          </w:tcPr>
          <w:p w14:paraId="2B253247" w14:textId="77777777" w:rsidR="003F2037" w:rsidRPr="00A77EA1" w:rsidRDefault="003F2037" w:rsidP="005C584B">
            <w:pPr>
              <w:autoSpaceDE w:val="0"/>
              <w:autoSpaceDN w:val="0"/>
              <w:adjustRightInd w:val="0"/>
              <w:jc w:val="center"/>
              <w:rPr>
                <w:rFonts w:ascii="Arial Narrow" w:hAnsi="Arial Narrow" w:cs="Times New Roman"/>
                <w:color w:val="000000"/>
                <w:sz w:val="20"/>
                <w:szCs w:val="20"/>
              </w:rPr>
            </w:pPr>
            <w:r w:rsidRPr="00A77EA1">
              <w:rPr>
                <w:rFonts w:ascii="Arial Narrow" w:hAnsi="Arial Narrow"/>
                <w:b/>
                <w:sz w:val="20"/>
                <w:szCs w:val="20"/>
              </w:rPr>
              <w:t>Beginning</w:t>
            </w:r>
          </w:p>
        </w:tc>
        <w:tc>
          <w:tcPr>
            <w:tcW w:w="140" w:type="pct"/>
            <w:tcBorders>
              <w:top w:val="single" w:sz="4" w:space="0" w:color="auto"/>
              <w:left w:val="nil"/>
              <w:bottom w:val="single" w:sz="4" w:space="0" w:color="auto"/>
              <w:right w:val="single" w:sz="4" w:space="0" w:color="auto"/>
            </w:tcBorders>
            <w:shd w:val="clear" w:color="auto" w:fill="auto"/>
          </w:tcPr>
          <w:p w14:paraId="4D0685C4" w14:textId="77777777" w:rsidR="003F2037" w:rsidRPr="00A77EA1" w:rsidRDefault="003F2037" w:rsidP="005C584B">
            <w:pPr>
              <w:jc w:val="center"/>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auto"/>
          </w:tcPr>
          <w:p w14:paraId="0E467DFB" w14:textId="77777777" w:rsidR="003F2037" w:rsidRPr="00A77EA1" w:rsidRDefault="003F2037" w:rsidP="005C584B">
            <w:pPr>
              <w:jc w:val="center"/>
              <w:rPr>
                <w:rFonts w:ascii="Arial Narrow" w:hAnsi="Arial Narrow" w:cs="Times New Roman"/>
                <w:sz w:val="20"/>
                <w:szCs w:val="20"/>
              </w:rPr>
            </w:pPr>
            <w:r w:rsidRPr="00A77EA1">
              <w:rPr>
                <w:rFonts w:ascii="Arial Narrow" w:hAnsi="Arial Narrow"/>
                <w:b/>
                <w:sz w:val="20"/>
                <w:szCs w:val="20"/>
              </w:rPr>
              <w:t>Meets Expectations</w:t>
            </w:r>
          </w:p>
        </w:tc>
        <w:tc>
          <w:tcPr>
            <w:tcW w:w="140" w:type="pct"/>
            <w:tcBorders>
              <w:top w:val="single" w:sz="4" w:space="0" w:color="auto"/>
              <w:left w:val="nil"/>
              <w:bottom w:val="single" w:sz="4" w:space="0" w:color="auto"/>
              <w:right w:val="single" w:sz="4" w:space="0" w:color="auto"/>
            </w:tcBorders>
            <w:shd w:val="clear" w:color="auto" w:fill="auto"/>
          </w:tcPr>
          <w:p w14:paraId="415BCE7D" w14:textId="77777777" w:rsidR="003F2037" w:rsidRPr="00A77EA1" w:rsidRDefault="003F2037" w:rsidP="005C584B">
            <w:pPr>
              <w:jc w:val="center"/>
              <w:rPr>
                <w:rFonts w:ascii="Arial Narrow" w:hAnsi="Arial Narrow" w:cs="Times New Roman"/>
                <w:sz w:val="20"/>
                <w:szCs w:val="20"/>
              </w:rPr>
            </w:pPr>
          </w:p>
        </w:tc>
        <w:tc>
          <w:tcPr>
            <w:tcW w:w="975" w:type="pct"/>
            <w:tcBorders>
              <w:top w:val="single" w:sz="4" w:space="0" w:color="auto"/>
              <w:left w:val="single" w:sz="4" w:space="0" w:color="auto"/>
              <w:bottom w:val="single" w:sz="4" w:space="0" w:color="auto"/>
              <w:right w:val="nil"/>
            </w:tcBorders>
            <w:shd w:val="clear" w:color="auto" w:fill="auto"/>
          </w:tcPr>
          <w:p w14:paraId="7A0D761C" w14:textId="77777777" w:rsidR="003F2037" w:rsidRPr="00A77EA1" w:rsidRDefault="003F2037" w:rsidP="005C584B">
            <w:pPr>
              <w:jc w:val="center"/>
              <w:rPr>
                <w:rFonts w:ascii="Arial Narrow" w:hAnsi="Arial Narrow" w:cs="Times New Roman"/>
                <w:sz w:val="20"/>
                <w:szCs w:val="20"/>
              </w:rPr>
            </w:pPr>
            <w:r w:rsidRPr="00A77EA1">
              <w:rPr>
                <w:rFonts w:ascii="Arial Narrow" w:hAnsi="Arial Narrow"/>
                <w:b/>
                <w:sz w:val="20"/>
                <w:szCs w:val="20"/>
              </w:rPr>
              <w:t>Best Practice</w:t>
            </w:r>
          </w:p>
        </w:tc>
        <w:tc>
          <w:tcPr>
            <w:tcW w:w="140" w:type="pct"/>
            <w:tcBorders>
              <w:top w:val="single" w:sz="4" w:space="0" w:color="auto"/>
              <w:left w:val="nil"/>
              <w:bottom w:val="single" w:sz="4" w:space="0" w:color="auto"/>
              <w:right w:val="single" w:sz="4" w:space="0" w:color="auto"/>
            </w:tcBorders>
            <w:shd w:val="clear" w:color="auto" w:fill="auto"/>
          </w:tcPr>
          <w:p w14:paraId="7179152B" w14:textId="77777777" w:rsidR="003F2037" w:rsidRPr="00A77EA1" w:rsidRDefault="003F2037" w:rsidP="005C584B">
            <w:pPr>
              <w:jc w:val="center"/>
              <w:rPr>
                <w:rFonts w:ascii="Arial Narrow" w:hAnsi="Arial Narrow" w:cs="Times New Roman"/>
                <w:sz w:val="20"/>
                <w:szCs w:val="20"/>
              </w:rPr>
            </w:pPr>
          </w:p>
        </w:tc>
        <w:tc>
          <w:tcPr>
            <w:tcW w:w="275" w:type="pct"/>
            <w:tcBorders>
              <w:left w:val="single" w:sz="4" w:space="0" w:color="auto"/>
              <w:bottom w:val="single" w:sz="4" w:space="0" w:color="auto"/>
            </w:tcBorders>
            <w:shd w:val="clear" w:color="auto" w:fill="EAF1DD" w:themeFill="accent3" w:themeFillTint="33"/>
          </w:tcPr>
          <w:p w14:paraId="4D2DFC58" w14:textId="77777777" w:rsidR="003F2037" w:rsidRPr="00A77EA1" w:rsidRDefault="003F2037" w:rsidP="005C584B">
            <w:pPr>
              <w:jc w:val="center"/>
              <w:rPr>
                <w:rFonts w:ascii="Arial Narrow" w:hAnsi="Arial Narrow"/>
                <w:b/>
                <w:sz w:val="20"/>
                <w:szCs w:val="20"/>
              </w:rPr>
            </w:pPr>
            <w:r w:rsidRPr="00A77EA1">
              <w:rPr>
                <w:rFonts w:ascii="Arial Narrow" w:hAnsi="Arial Narrow"/>
                <w:b/>
                <w:sz w:val="20"/>
                <w:szCs w:val="20"/>
              </w:rPr>
              <w:t>Overall</w:t>
            </w:r>
          </w:p>
          <w:p w14:paraId="7836A132" w14:textId="77777777" w:rsidR="003F2037" w:rsidRPr="00A77EA1" w:rsidRDefault="003F2037" w:rsidP="005C584B">
            <w:pPr>
              <w:jc w:val="center"/>
              <w:rPr>
                <w:rFonts w:ascii="Arial Narrow" w:hAnsi="Arial Narrow" w:cs="Times New Roman"/>
                <w:sz w:val="20"/>
                <w:szCs w:val="20"/>
              </w:rPr>
            </w:pPr>
            <w:r w:rsidRPr="00A77EA1">
              <w:rPr>
                <w:rFonts w:ascii="Arial Narrow" w:hAnsi="Arial Narrow"/>
                <w:b/>
                <w:sz w:val="20"/>
                <w:szCs w:val="20"/>
              </w:rPr>
              <w:t>Rating</w:t>
            </w:r>
          </w:p>
        </w:tc>
      </w:tr>
      <w:tr w:rsidR="003F2037" w:rsidRPr="00FB1297" w14:paraId="4931E6D5" w14:textId="77777777" w:rsidTr="005C584B">
        <w:trPr>
          <w:trHeight w:val="688"/>
        </w:trPr>
        <w:tc>
          <w:tcPr>
            <w:tcW w:w="510" w:type="pct"/>
            <w:tcBorders>
              <w:top w:val="single" w:sz="4" w:space="0" w:color="auto"/>
              <w:bottom w:val="single" w:sz="4" w:space="0" w:color="auto"/>
              <w:right w:val="single" w:sz="4" w:space="0" w:color="auto"/>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218"/>
            </w:tblGrid>
            <w:tr w:rsidR="003F2037" w:rsidRPr="00974EBB" w14:paraId="10979991" w14:textId="77777777" w:rsidTr="005C584B">
              <w:trPr>
                <w:trHeight w:val="187"/>
              </w:trPr>
              <w:tc>
                <w:tcPr>
                  <w:tcW w:w="1250" w:type="dxa"/>
                </w:tcPr>
                <w:p w14:paraId="4F89DEEE"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bCs/>
                      <w:iCs/>
                      <w:color w:val="000000"/>
                      <w:sz w:val="20"/>
                      <w:szCs w:val="20"/>
                    </w:rPr>
                  </w:pPr>
                  <w:r>
                    <w:rPr>
                      <w:rFonts w:ascii="Arial Narrow" w:hAnsi="Arial Narrow" w:cs="Times New Roman"/>
                      <w:b/>
                      <w:bCs/>
                      <w:iCs/>
                      <w:color w:val="000000"/>
                      <w:sz w:val="20"/>
                      <w:szCs w:val="20"/>
                    </w:rPr>
                    <w:t xml:space="preserve">Unit Objectives </w:t>
                  </w:r>
                </w:p>
                <w:p w14:paraId="773A3F34"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color w:val="000000"/>
                      <w:sz w:val="20"/>
                      <w:szCs w:val="20"/>
                    </w:rPr>
                  </w:pPr>
                </w:p>
              </w:tc>
            </w:tr>
          </w:tbl>
          <w:p w14:paraId="22EB03E7" w14:textId="77777777" w:rsidR="003F2037" w:rsidRPr="00974EBB" w:rsidRDefault="003F2037" w:rsidP="005C584B">
            <w:pPr>
              <w:ind w:right="35"/>
              <w:rPr>
                <w:rFonts w:ascii="Arial Narrow" w:hAnsi="Arial Narrow" w:cs="Times New Roman"/>
                <w:b/>
                <w:sz w:val="20"/>
                <w:szCs w:val="20"/>
              </w:rPr>
            </w:pPr>
          </w:p>
        </w:tc>
        <w:tc>
          <w:tcPr>
            <w:tcW w:w="521" w:type="pct"/>
            <w:tcBorders>
              <w:top w:val="single" w:sz="4" w:space="0" w:color="auto"/>
              <w:left w:val="single" w:sz="4" w:space="0" w:color="auto"/>
              <w:bottom w:val="single" w:sz="4" w:space="0" w:color="auto"/>
              <w:right w:val="nil"/>
            </w:tcBorders>
            <w:shd w:val="clear" w:color="auto" w:fill="EEECE1" w:themeFill="background2"/>
          </w:tcPr>
          <w:p w14:paraId="2D017F8C" w14:textId="77777777" w:rsidR="003F2037" w:rsidRDefault="003F2037" w:rsidP="005C584B">
            <w:pPr>
              <w:autoSpaceDE w:val="0"/>
              <w:autoSpaceDN w:val="0"/>
              <w:adjustRightInd w:val="0"/>
              <w:rPr>
                <w:rFonts w:ascii="Arial Narrow" w:hAnsi="Arial Narrow"/>
                <w:sz w:val="20"/>
                <w:szCs w:val="20"/>
              </w:rPr>
            </w:pPr>
            <w:r>
              <w:rPr>
                <w:rFonts w:ascii="Arial Narrow" w:hAnsi="Arial Narrow"/>
                <w:sz w:val="20"/>
                <w:szCs w:val="20"/>
              </w:rPr>
              <w:t xml:space="preserve">Not Able to Rate </w:t>
            </w:r>
          </w:p>
          <w:p w14:paraId="2D86F467" w14:textId="77777777" w:rsidR="003F2037" w:rsidRPr="00FB1297" w:rsidRDefault="003F2037" w:rsidP="005C584B">
            <w:pPr>
              <w:autoSpaceDE w:val="0"/>
              <w:autoSpaceDN w:val="0"/>
              <w:adjustRightInd w:val="0"/>
              <w:rPr>
                <w:rFonts w:ascii="Arial Narrow" w:hAnsi="Arial Narrow"/>
                <w:sz w:val="20"/>
                <w:szCs w:val="20"/>
              </w:rPr>
            </w:pPr>
          </w:p>
        </w:tc>
        <w:tc>
          <w:tcPr>
            <w:tcW w:w="140" w:type="pct"/>
            <w:tcBorders>
              <w:top w:val="single" w:sz="4" w:space="0" w:color="auto"/>
              <w:left w:val="nil"/>
              <w:bottom w:val="single" w:sz="4" w:space="0" w:color="auto"/>
              <w:right w:val="single" w:sz="4" w:space="0" w:color="auto"/>
            </w:tcBorders>
            <w:shd w:val="clear" w:color="auto" w:fill="EEECE1" w:themeFill="background2"/>
          </w:tcPr>
          <w:p w14:paraId="2D5AE564" w14:textId="77777777" w:rsidR="003F2037" w:rsidRPr="006027DB"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057" w:type="pct"/>
            <w:tcBorders>
              <w:top w:val="single" w:sz="4" w:space="0" w:color="auto"/>
              <w:left w:val="single" w:sz="4" w:space="0" w:color="auto"/>
              <w:bottom w:val="single" w:sz="4" w:space="0" w:color="auto"/>
              <w:right w:val="nil"/>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538"/>
            </w:tblGrid>
            <w:tr w:rsidR="003F2037" w:rsidRPr="00FB1297" w14:paraId="26BF212D" w14:textId="77777777" w:rsidTr="005C584B">
              <w:trPr>
                <w:trHeight w:val="325"/>
              </w:trPr>
              <w:tc>
                <w:tcPr>
                  <w:tcW w:w="1907" w:type="dxa"/>
                </w:tcPr>
                <w:p w14:paraId="131EFC3B"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r>
                    <w:rPr>
                      <w:rFonts w:ascii="Arial Narrow" w:hAnsi="Arial Narrow" w:cs="Times New Roman"/>
                      <w:color w:val="000000"/>
                      <w:sz w:val="20"/>
                      <w:szCs w:val="20"/>
                    </w:rPr>
                    <w:t>Unit objectives</w:t>
                  </w:r>
                  <w:r w:rsidRPr="00FB1297">
                    <w:rPr>
                      <w:rFonts w:ascii="Arial Narrow" w:hAnsi="Arial Narrow" w:cs="Times New Roman"/>
                      <w:color w:val="000000"/>
                      <w:sz w:val="20"/>
                      <w:szCs w:val="20"/>
                    </w:rPr>
                    <w:t xml:space="preserve"> have been identified. </w:t>
                  </w:r>
                </w:p>
              </w:tc>
            </w:tr>
          </w:tbl>
          <w:p w14:paraId="0D68889A" w14:textId="77777777" w:rsidR="003F2037" w:rsidRPr="00FB1297" w:rsidRDefault="003F2037" w:rsidP="005C584B">
            <w:pPr>
              <w:rPr>
                <w:rFonts w:ascii="Arial Narrow" w:hAnsi="Arial Narrow" w:cs="Times New Roman"/>
                <w:sz w:val="20"/>
                <w:szCs w:val="20"/>
              </w:rPr>
            </w:pPr>
          </w:p>
        </w:tc>
        <w:tc>
          <w:tcPr>
            <w:tcW w:w="140" w:type="pct"/>
            <w:tcBorders>
              <w:top w:val="single" w:sz="4" w:space="0" w:color="auto"/>
              <w:left w:val="nil"/>
              <w:bottom w:val="single" w:sz="4" w:space="0" w:color="auto"/>
              <w:right w:val="single" w:sz="4" w:space="0" w:color="auto"/>
            </w:tcBorders>
            <w:shd w:val="clear" w:color="auto" w:fill="EEECE1" w:themeFill="background2"/>
          </w:tcPr>
          <w:p w14:paraId="7E4D39D5" w14:textId="77777777" w:rsidR="003F2037" w:rsidRPr="00FB1297" w:rsidRDefault="003F2037" w:rsidP="005C584B">
            <w:pPr>
              <w:jc w:val="both"/>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100" w:type="pct"/>
            <w:tcBorders>
              <w:top w:val="single" w:sz="4" w:space="0" w:color="auto"/>
              <w:left w:val="single" w:sz="4" w:space="0" w:color="auto"/>
              <w:bottom w:val="single" w:sz="4" w:space="0" w:color="auto"/>
              <w:right w:val="nil"/>
            </w:tcBorders>
            <w:shd w:val="clear" w:color="auto" w:fill="EEECE1" w:themeFill="background2"/>
          </w:tcPr>
          <w:p w14:paraId="73B0A1ED"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Unit objectives are m</w:t>
            </w:r>
            <w:r w:rsidRPr="00FB1297">
              <w:rPr>
                <w:rFonts w:ascii="Arial Narrow" w:hAnsi="Arial Narrow" w:cs="Times New Roman"/>
                <w:sz w:val="20"/>
                <w:szCs w:val="20"/>
              </w:rPr>
              <w:t>easurable.</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5A41038C"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tcBorders>
              <w:top w:val="single" w:sz="4" w:space="0" w:color="auto"/>
              <w:left w:val="single" w:sz="4" w:space="0" w:color="auto"/>
              <w:bottom w:val="single" w:sz="4" w:space="0" w:color="auto"/>
              <w:right w:val="nil"/>
            </w:tcBorders>
            <w:shd w:val="clear" w:color="auto" w:fill="EEECE1" w:themeFill="background2"/>
          </w:tcPr>
          <w:p w14:paraId="0B31F4D8"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Unit objectives routinely s</w:t>
            </w:r>
            <w:r w:rsidRPr="00FB1297">
              <w:rPr>
                <w:rFonts w:ascii="Arial Narrow" w:hAnsi="Arial Narrow" w:cs="Times New Roman"/>
                <w:sz w:val="20"/>
                <w:szCs w:val="20"/>
              </w:rPr>
              <w:t xml:space="preserve">hared with </w:t>
            </w:r>
            <w:r>
              <w:rPr>
                <w:rFonts w:ascii="Arial Narrow" w:hAnsi="Arial Narrow" w:cs="Times New Roman"/>
                <w:sz w:val="20"/>
                <w:szCs w:val="20"/>
              </w:rPr>
              <w:t>staff/faculty.</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168AB3ED"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275" w:type="pct"/>
            <w:tcBorders>
              <w:top w:val="single" w:sz="4" w:space="0" w:color="auto"/>
              <w:left w:val="single" w:sz="4" w:space="0" w:color="auto"/>
              <w:bottom w:val="single" w:sz="4" w:space="0" w:color="auto"/>
            </w:tcBorders>
            <w:shd w:val="clear" w:color="auto" w:fill="EAF1DD" w:themeFill="accent3" w:themeFillTint="33"/>
          </w:tcPr>
          <w:p w14:paraId="62253A13" w14:textId="77777777" w:rsidR="003F2037" w:rsidRPr="00FB1297" w:rsidRDefault="003F2037" w:rsidP="005C584B">
            <w:pPr>
              <w:rPr>
                <w:rFonts w:ascii="Arial Narrow" w:hAnsi="Arial Narrow" w:cs="Times New Roman"/>
                <w:sz w:val="20"/>
                <w:szCs w:val="20"/>
              </w:rPr>
            </w:pPr>
          </w:p>
        </w:tc>
      </w:tr>
      <w:tr w:rsidR="003F2037" w:rsidRPr="00FB1297" w14:paraId="13349C41" w14:textId="77777777" w:rsidTr="005C584B">
        <w:trPr>
          <w:trHeight w:val="20"/>
        </w:trPr>
        <w:tc>
          <w:tcPr>
            <w:tcW w:w="510" w:type="pct"/>
            <w:vMerge w:val="restart"/>
            <w:tcBorders>
              <w:top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218"/>
            </w:tblGrid>
            <w:tr w:rsidR="003F2037" w:rsidRPr="00974EBB" w14:paraId="13170F93" w14:textId="77777777" w:rsidTr="005C584B">
              <w:trPr>
                <w:trHeight w:val="187"/>
              </w:trPr>
              <w:tc>
                <w:tcPr>
                  <w:tcW w:w="1250" w:type="dxa"/>
                </w:tcPr>
                <w:p w14:paraId="1A7163DB"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bCs/>
                      <w:iCs/>
                      <w:color w:val="000000"/>
                      <w:sz w:val="20"/>
                      <w:szCs w:val="20"/>
                    </w:rPr>
                  </w:pPr>
                  <w:r w:rsidRPr="00974EBB">
                    <w:rPr>
                      <w:rFonts w:ascii="Arial Narrow" w:hAnsi="Arial Narrow" w:cs="Times New Roman"/>
                      <w:b/>
                      <w:bCs/>
                      <w:iCs/>
                      <w:color w:val="000000"/>
                      <w:sz w:val="20"/>
                      <w:szCs w:val="20"/>
                    </w:rPr>
                    <w:t>Assessment Measures</w:t>
                  </w:r>
                </w:p>
                <w:p w14:paraId="0B10804F"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color w:val="000000"/>
                      <w:sz w:val="20"/>
                      <w:szCs w:val="20"/>
                    </w:rPr>
                  </w:pPr>
                </w:p>
              </w:tc>
            </w:tr>
          </w:tbl>
          <w:p w14:paraId="76BD28B4" w14:textId="77777777" w:rsidR="003F2037" w:rsidRPr="00974EBB" w:rsidRDefault="003F2037" w:rsidP="005C584B">
            <w:pPr>
              <w:ind w:right="35"/>
              <w:rPr>
                <w:rFonts w:ascii="Arial Narrow" w:hAnsi="Arial Narrow" w:cs="Times New Roman"/>
                <w:b/>
                <w:sz w:val="20"/>
                <w:szCs w:val="20"/>
              </w:rPr>
            </w:pPr>
          </w:p>
        </w:tc>
        <w:tc>
          <w:tcPr>
            <w:tcW w:w="521" w:type="pct"/>
            <w:vMerge w:val="restart"/>
            <w:tcBorders>
              <w:top w:val="single" w:sz="4" w:space="0" w:color="auto"/>
              <w:left w:val="single" w:sz="4" w:space="0" w:color="auto"/>
              <w:bottom w:val="nil"/>
              <w:right w:val="nil"/>
            </w:tcBorders>
            <w:shd w:val="clear" w:color="auto" w:fill="FFFFFF" w:themeFill="background1"/>
          </w:tcPr>
          <w:p w14:paraId="51CF8B55" w14:textId="77777777" w:rsidR="003F2037" w:rsidRPr="00FB1297" w:rsidRDefault="003F2037" w:rsidP="005C584B">
            <w:pPr>
              <w:autoSpaceDE w:val="0"/>
              <w:autoSpaceDN w:val="0"/>
              <w:adjustRightInd w:val="0"/>
              <w:rPr>
                <w:rFonts w:ascii="Arial Narrow" w:hAnsi="Arial Narrow"/>
                <w:sz w:val="20"/>
                <w:szCs w:val="20"/>
              </w:rPr>
            </w:pPr>
            <w:r>
              <w:rPr>
                <w:rFonts w:ascii="Arial Narrow" w:hAnsi="Arial Narrow"/>
                <w:sz w:val="20"/>
                <w:szCs w:val="20"/>
              </w:rPr>
              <w:t xml:space="preserve">Not Able to Rate </w:t>
            </w:r>
          </w:p>
        </w:tc>
        <w:tc>
          <w:tcPr>
            <w:tcW w:w="140" w:type="pct"/>
            <w:vMerge w:val="restart"/>
            <w:tcBorders>
              <w:top w:val="single" w:sz="4" w:space="0" w:color="auto"/>
              <w:left w:val="nil"/>
              <w:bottom w:val="nil"/>
              <w:right w:val="single" w:sz="4" w:space="0" w:color="auto"/>
            </w:tcBorders>
            <w:shd w:val="clear" w:color="auto" w:fill="FFFFFF" w:themeFill="background1"/>
          </w:tcPr>
          <w:p w14:paraId="22212528" w14:textId="77777777" w:rsidR="003F2037" w:rsidRPr="006027DB"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p w14:paraId="6C9B2ADF" w14:textId="77777777" w:rsidR="003F2037" w:rsidRPr="006027DB" w:rsidRDefault="003F2037" w:rsidP="005C584B">
            <w:pPr>
              <w:rPr>
                <w:rFonts w:ascii="Arial Narrow" w:hAnsi="Arial Narrow" w:cs="Times New Roman"/>
                <w:sz w:val="20"/>
                <w:szCs w:val="20"/>
              </w:rPr>
            </w:pPr>
          </w:p>
        </w:tc>
        <w:tc>
          <w:tcPr>
            <w:tcW w:w="1057" w:type="pct"/>
            <w:vMerge w:val="restart"/>
            <w:tcBorders>
              <w:top w:val="single" w:sz="4" w:space="0" w:color="auto"/>
              <w:left w:val="single" w:sz="4" w:space="0" w:color="auto"/>
              <w:bottom w:val="nil"/>
              <w:right w:val="nil"/>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538"/>
            </w:tblGrid>
            <w:tr w:rsidR="003F2037" w:rsidRPr="00FB1297" w14:paraId="75843FCC" w14:textId="77777777" w:rsidTr="005C584B">
              <w:trPr>
                <w:trHeight w:val="441"/>
              </w:trPr>
              <w:tc>
                <w:tcPr>
                  <w:tcW w:w="1907" w:type="dxa"/>
                </w:tcPr>
                <w:p w14:paraId="17C8A7D2"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r w:rsidRPr="00FB1297">
                    <w:rPr>
                      <w:rFonts w:ascii="Arial Narrow" w:hAnsi="Arial Narrow" w:cs="Times New Roman"/>
                      <w:color w:val="000000"/>
                      <w:sz w:val="20"/>
                      <w:szCs w:val="20"/>
                    </w:rPr>
                    <w:t xml:space="preserve">General measures of </w:t>
                  </w:r>
                  <w:r>
                    <w:rPr>
                      <w:rFonts w:ascii="Arial Narrow" w:hAnsi="Arial Narrow" w:cs="Times New Roman"/>
                      <w:color w:val="000000"/>
                      <w:sz w:val="20"/>
                      <w:szCs w:val="20"/>
                    </w:rPr>
                    <w:t>unit objectives</w:t>
                  </w:r>
                  <w:r w:rsidRPr="00FB1297">
                    <w:rPr>
                      <w:rFonts w:ascii="Arial Narrow" w:hAnsi="Arial Narrow" w:cs="Times New Roman"/>
                      <w:color w:val="000000"/>
                      <w:sz w:val="20"/>
                      <w:szCs w:val="20"/>
                    </w:rPr>
                    <w:t xml:space="preserve"> are identified. </w:t>
                  </w:r>
                </w:p>
                <w:p w14:paraId="07DAF20B"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p>
              </w:tc>
            </w:tr>
          </w:tbl>
          <w:p w14:paraId="6D9070F7" w14:textId="77777777" w:rsidR="003F2037" w:rsidRPr="00FB1297" w:rsidRDefault="003F2037" w:rsidP="005C584B">
            <w:pPr>
              <w:rPr>
                <w:rFonts w:ascii="Arial Narrow" w:hAnsi="Arial Narrow" w:cs="Times New Roman"/>
                <w:sz w:val="20"/>
                <w:szCs w:val="20"/>
              </w:rPr>
            </w:pPr>
          </w:p>
        </w:tc>
        <w:tc>
          <w:tcPr>
            <w:tcW w:w="140" w:type="pct"/>
            <w:vMerge w:val="restart"/>
            <w:tcBorders>
              <w:top w:val="single" w:sz="4" w:space="0" w:color="auto"/>
              <w:left w:val="nil"/>
              <w:bottom w:val="nil"/>
              <w:right w:val="single" w:sz="4" w:space="0" w:color="auto"/>
            </w:tcBorders>
            <w:shd w:val="clear" w:color="auto" w:fill="FFFFFF" w:themeFill="background1"/>
          </w:tcPr>
          <w:p w14:paraId="594A974F" w14:textId="77777777" w:rsidR="003F2037" w:rsidRPr="00FB1297" w:rsidRDefault="003F2037" w:rsidP="005C584B">
            <w:pPr>
              <w:jc w:val="both"/>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100" w:type="pct"/>
            <w:tcBorders>
              <w:top w:val="single" w:sz="4" w:space="0" w:color="auto"/>
              <w:left w:val="single" w:sz="4" w:space="0" w:color="auto"/>
              <w:bottom w:val="single" w:sz="4" w:space="0" w:color="auto"/>
              <w:right w:val="nil"/>
            </w:tcBorders>
            <w:shd w:val="clear" w:color="auto" w:fill="FFFFFF" w:themeFill="background1"/>
          </w:tcPr>
          <w:p w14:paraId="1D9B9AFA"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At least two specific measures of approved </w:t>
            </w:r>
            <w:r>
              <w:rPr>
                <w:rFonts w:ascii="Arial Narrow" w:hAnsi="Arial Narrow" w:cs="Times New Roman"/>
                <w:sz w:val="20"/>
                <w:szCs w:val="20"/>
              </w:rPr>
              <w:t>unit objectives</w:t>
            </w:r>
            <w:r w:rsidRPr="00FB1297">
              <w:rPr>
                <w:rFonts w:ascii="Arial Narrow" w:hAnsi="Arial Narrow" w:cs="Times New Roman"/>
                <w:sz w:val="20"/>
                <w:szCs w:val="20"/>
              </w:rPr>
              <w:t xml:space="preserve"> are identified with one being a direct measure.</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75952429"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val="restart"/>
            <w:tcBorders>
              <w:top w:val="single" w:sz="4" w:space="0" w:color="auto"/>
              <w:left w:val="single" w:sz="4" w:space="0" w:color="auto"/>
              <w:bottom w:val="nil"/>
              <w:right w:val="nil"/>
            </w:tcBorders>
            <w:shd w:val="clear" w:color="auto" w:fill="FFFFFF" w:themeFill="background1"/>
          </w:tcPr>
          <w:p w14:paraId="759933B3"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At least two direct measures are used to assess each </w:t>
            </w:r>
            <w:r>
              <w:rPr>
                <w:rFonts w:ascii="Arial Narrow" w:hAnsi="Arial Narrow" w:cs="Times New Roman"/>
                <w:sz w:val="20"/>
                <w:szCs w:val="20"/>
              </w:rPr>
              <w:t>unit objective</w:t>
            </w:r>
            <w:r w:rsidRPr="00FB1297">
              <w:rPr>
                <w:rFonts w:ascii="Arial Narrow" w:hAnsi="Arial Narrow" w:cs="Times New Roman"/>
                <w:sz w:val="20"/>
                <w:szCs w:val="20"/>
              </w:rPr>
              <w:t>.</w:t>
            </w:r>
          </w:p>
        </w:tc>
        <w:tc>
          <w:tcPr>
            <w:tcW w:w="140" w:type="pct"/>
            <w:vMerge w:val="restart"/>
            <w:tcBorders>
              <w:top w:val="single" w:sz="4" w:space="0" w:color="auto"/>
              <w:left w:val="nil"/>
              <w:bottom w:val="nil"/>
              <w:right w:val="single" w:sz="4" w:space="0" w:color="auto"/>
            </w:tcBorders>
            <w:shd w:val="clear" w:color="auto" w:fill="FFFFFF" w:themeFill="background1"/>
          </w:tcPr>
          <w:p w14:paraId="11614F25"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275" w:type="pct"/>
            <w:vMerge w:val="restart"/>
            <w:tcBorders>
              <w:top w:val="single" w:sz="4" w:space="0" w:color="auto"/>
              <w:left w:val="single" w:sz="4" w:space="0" w:color="auto"/>
            </w:tcBorders>
            <w:shd w:val="clear" w:color="auto" w:fill="EAF1DD" w:themeFill="accent3" w:themeFillTint="33"/>
          </w:tcPr>
          <w:p w14:paraId="5D25EE52" w14:textId="77777777" w:rsidR="003F2037" w:rsidRPr="00FB1297" w:rsidRDefault="003F2037" w:rsidP="005C584B">
            <w:pPr>
              <w:rPr>
                <w:rFonts w:ascii="Arial Narrow" w:hAnsi="Arial Narrow" w:cs="Times New Roman"/>
                <w:sz w:val="20"/>
                <w:szCs w:val="20"/>
              </w:rPr>
            </w:pPr>
          </w:p>
        </w:tc>
      </w:tr>
      <w:tr w:rsidR="003F2037" w:rsidRPr="00FB1297" w14:paraId="534F634F" w14:textId="77777777" w:rsidTr="005C584B">
        <w:trPr>
          <w:trHeight w:val="20"/>
        </w:trPr>
        <w:tc>
          <w:tcPr>
            <w:tcW w:w="510" w:type="pct"/>
            <w:vMerge/>
            <w:tcBorders>
              <w:right w:val="single" w:sz="4" w:space="0" w:color="auto"/>
            </w:tcBorders>
            <w:shd w:val="clear" w:color="auto" w:fill="FFFFFF" w:themeFill="background1"/>
          </w:tcPr>
          <w:p w14:paraId="645B22A2"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nil"/>
              <w:right w:val="nil"/>
            </w:tcBorders>
            <w:shd w:val="clear" w:color="auto" w:fill="FFFFFF" w:themeFill="background1"/>
          </w:tcPr>
          <w:p w14:paraId="174C8376"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nil"/>
              <w:right w:val="single" w:sz="4" w:space="0" w:color="auto"/>
            </w:tcBorders>
            <w:shd w:val="clear" w:color="auto" w:fill="FFFFFF" w:themeFill="background1"/>
          </w:tcPr>
          <w:p w14:paraId="6D5BFAD7"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nil"/>
              <w:right w:val="nil"/>
            </w:tcBorders>
            <w:shd w:val="clear" w:color="auto" w:fill="FFFFFF" w:themeFill="background1"/>
          </w:tcPr>
          <w:p w14:paraId="7CB2F40D"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nil"/>
              <w:right w:val="single" w:sz="4" w:space="0" w:color="auto"/>
            </w:tcBorders>
            <w:shd w:val="clear" w:color="auto" w:fill="FFFFFF" w:themeFill="background1"/>
          </w:tcPr>
          <w:p w14:paraId="784990ED"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FFFFFF" w:themeFill="background1"/>
          </w:tcPr>
          <w:p w14:paraId="3949DE31"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Rubrics </w:t>
            </w:r>
            <w:r>
              <w:rPr>
                <w:rFonts w:ascii="Arial Narrow" w:hAnsi="Arial Narrow" w:cs="Times New Roman"/>
                <w:sz w:val="20"/>
                <w:szCs w:val="20"/>
              </w:rPr>
              <w:t>are provided for each measure.</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61DDCEA6"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nil"/>
              <w:right w:val="nil"/>
            </w:tcBorders>
            <w:shd w:val="clear" w:color="auto" w:fill="FFFFFF" w:themeFill="background1"/>
          </w:tcPr>
          <w:p w14:paraId="154D8FC6"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nil"/>
              <w:right w:val="single" w:sz="4" w:space="0" w:color="auto"/>
            </w:tcBorders>
            <w:shd w:val="clear" w:color="auto" w:fill="FFFFFF" w:themeFill="background1"/>
          </w:tcPr>
          <w:p w14:paraId="5B914DC2"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7060F978" w14:textId="77777777" w:rsidR="003F2037" w:rsidRPr="00FB1297" w:rsidRDefault="003F2037" w:rsidP="005C584B">
            <w:pPr>
              <w:rPr>
                <w:rFonts w:ascii="Arial Narrow" w:hAnsi="Arial Narrow" w:cs="Times New Roman"/>
                <w:sz w:val="20"/>
                <w:szCs w:val="20"/>
              </w:rPr>
            </w:pPr>
          </w:p>
        </w:tc>
      </w:tr>
      <w:tr w:rsidR="003F2037" w:rsidRPr="00FB1297" w14:paraId="5919CE63" w14:textId="77777777" w:rsidTr="005C584B">
        <w:trPr>
          <w:trHeight w:val="20"/>
        </w:trPr>
        <w:tc>
          <w:tcPr>
            <w:tcW w:w="510" w:type="pct"/>
            <w:vMerge/>
            <w:tcBorders>
              <w:bottom w:val="single" w:sz="4" w:space="0" w:color="auto"/>
              <w:right w:val="single" w:sz="4" w:space="0" w:color="auto"/>
            </w:tcBorders>
            <w:shd w:val="clear" w:color="auto" w:fill="FFFFFF" w:themeFill="background1"/>
          </w:tcPr>
          <w:p w14:paraId="27A1AB23"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single" w:sz="4" w:space="0" w:color="auto"/>
              <w:right w:val="nil"/>
            </w:tcBorders>
            <w:shd w:val="clear" w:color="auto" w:fill="FFFFFF" w:themeFill="background1"/>
          </w:tcPr>
          <w:p w14:paraId="002F249A"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2B9BD4FB"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single" w:sz="4" w:space="0" w:color="auto"/>
              <w:right w:val="nil"/>
            </w:tcBorders>
            <w:shd w:val="clear" w:color="auto" w:fill="FFFFFF" w:themeFill="background1"/>
          </w:tcPr>
          <w:p w14:paraId="14465B08"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6A1F0C75"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FFFFFF" w:themeFill="background1"/>
          </w:tcPr>
          <w:p w14:paraId="442DDA71"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Data collection for at least one measure occurs annually.</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2E21F725"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single" w:sz="4" w:space="0" w:color="auto"/>
              <w:right w:val="nil"/>
            </w:tcBorders>
            <w:shd w:val="clear" w:color="auto" w:fill="FFFFFF" w:themeFill="background1"/>
          </w:tcPr>
          <w:p w14:paraId="681314F7"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3F182F5B"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bottom w:val="single" w:sz="4" w:space="0" w:color="auto"/>
            </w:tcBorders>
            <w:shd w:val="clear" w:color="auto" w:fill="EAF1DD" w:themeFill="accent3" w:themeFillTint="33"/>
          </w:tcPr>
          <w:p w14:paraId="1DDD97EB" w14:textId="77777777" w:rsidR="003F2037" w:rsidRPr="00FB1297" w:rsidRDefault="003F2037" w:rsidP="005C584B">
            <w:pPr>
              <w:rPr>
                <w:rFonts w:ascii="Arial Narrow" w:hAnsi="Arial Narrow" w:cs="Times New Roman"/>
                <w:sz w:val="20"/>
                <w:szCs w:val="20"/>
              </w:rPr>
            </w:pPr>
          </w:p>
        </w:tc>
      </w:tr>
      <w:tr w:rsidR="003F2037" w:rsidRPr="00FB1297" w14:paraId="108CFD32" w14:textId="77777777" w:rsidTr="005C584B">
        <w:trPr>
          <w:trHeight w:val="20"/>
        </w:trPr>
        <w:tc>
          <w:tcPr>
            <w:tcW w:w="510" w:type="pct"/>
            <w:vMerge w:val="restart"/>
            <w:tcBorders>
              <w:top w:val="single" w:sz="4" w:space="0" w:color="auto"/>
              <w:bottom w:val="single" w:sz="4" w:space="0" w:color="auto"/>
              <w:right w:val="single" w:sz="4" w:space="0" w:color="auto"/>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218"/>
            </w:tblGrid>
            <w:tr w:rsidR="003F2037" w:rsidRPr="00974EBB" w14:paraId="6C1657F4" w14:textId="77777777" w:rsidTr="005C584B">
              <w:trPr>
                <w:trHeight w:val="185"/>
              </w:trPr>
              <w:tc>
                <w:tcPr>
                  <w:tcW w:w="1250" w:type="dxa"/>
                </w:tcPr>
                <w:p w14:paraId="4E0F98C3"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bCs/>
                      <w:iCs/>
                      <w:color w:val="000000"/>
                      <w:sz w:val="20"/>
                      <w:szCs w:val="20"/>
                    </w:rPr>
                  </w:pPr>
                  <w:r w:rsidRPr="00974EBB">
                    <w:rPr>
                      <w:rFonts w:ascii="Arial Narrow" w:hAnsi="Arial Narrow" w:cs="Times New Roman"/>
                      <w:b/>
                      <w:bCs/>
                      <w:iCs/>
                      <w:color w:val="000000"/>
                      <w:sz w:val="20"/>
                      <w:szCs w:val="20"/>
                    </w:rPr>
                    <w:t>Assessment Results</w:t>
                  </w:r>
                </w:p>
                <w:p w14:paraId="476440CA"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color w:val="000000"/>
                      <w:sz w:val="20"/>
                      <w:szCs w:val="20"/>
                    </w:rPr>
                  </w:pPr>
                </w:p>
              </w:tc>
            </w:tr>
          </w:tbl>
          <w:p w14:paraId="30390BED" w14:textId="77777777" w:rsidR="003F2037" w:rsidRPr="00974EBB" w:rsidRDefault="003F2037" w:rsidP="005C584B">
            <w:pPr>
              <w:tabs>
                <w:tab w:val="left" w:pos="1305"/>
              </w:tabs>
              <w:ind w:right="35"/>
              <w:rPr>
                <w:rFonts w:ascii="Arial Narrow" w:hAnsi="Arial Narrow" w:cs="Times New Roman"/>
                <w:b/>
                <w:sz w:val="20"/>
                <w:szCs w:val="20"/>
              </w:rPr>
            </w:pPr>
          </w:p>
        </w:tc>
        <w:tc>
          <w:tcPr>
            <w:tcW w:w="521" w:type="pct"/>
            <w:vMerge w:val="restart"/>
            <w:tcBorders>
              <w:top w:val="single" w:sz="4" w:space="0" w:color="auto"/>
              <w:left w:val="single" w:sz="4" w:space="0" w:color="auto"/>
              <w:bottom w:val="single" w:sz="4" w:space="0" w:color="auto"/>
              <w:right w:val="nil"/>
            </w:tcBorders>
            <w:shd w:val="clear" w:color="auto" w:fill="EEECE1" w:themeFill="background2"/>
          </w:tcPr>
          <w:p w14:paraId="178B4650" w14:textId="77777777" w:rsidR="003F2037" w:rsidRPr="00FB1297" w:rsidRDefault="003F2037" w:rsidP="005C584B">
            <w:pPr>
              <w:autoSpaceDE w:val="0"/>
              <w:autoSpaceDN w:val="0"/>
              <w:adjustRightInd w:val="0"/>
              <w:rPr>
                <w:rFonts w:ascii="Arial Narrow" w:hAnsi="Arial Narrow" w:cs="Times New Roman"/>
                <w:color w:val="000000"/>
                <w:sz w:val="20"/>
                <w:szCs w:val="20"/>
              </w:rPr>
            </w:pPr>
            <w:r>
              <w:rPr>
                <w:rFonts w:ascii="Arial Narrow" w:hAnsi="Arial Narrow"/>
                <w:sz w:val="20"/>
                <w:szCs w:val="20"/>
              </w:rPr>
              <w:t xml:space="preserve">Not Able to Rate </w:t>
            </w: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55151BEA" w14:textId="77777777" w:rsidR="003F2037" w:rsidRPr="00FB1297" w:rsidRDefault="003F2037" w:rsidP="005C584B">
            <w:pPr>
              <w:autoSpaceDE w:val="0"/>
              <w:autoSpaceDN w:val="0"/>
              <w:adjustRightInd w:val="0"/>
              <w:rPr>
                <w:rFonts w:ascii="Arial Narrow" w:hAnsi="Arial Narrow" w:cs="Times New Roman"/>
                <w:color w:val="000000"/>
                <w:sz w:val="20"/>
                <w:szCs w:val="20"/>
              </w:rPr>
            </w:pPr>
            <w:r w:rsidRPr="00FB1297">
              <w:rPr>
                <w:rFonts w:ascii="Arial Narrow" w:hAnsi="Arial Narrow" w:cs="Times New Roman"/>
                <w:sz w:val="20"/>
                <w:szCs w:val="20"/>
              </w:rPr>
              <w:sym w:font="Wingdings" w:char="F06F"/>
            </w:r>
          </w:p>
        </w:tc>
        <w:tc>
          <w:tcPr>
            <w:tcW w:w="1057" w:type="pct"/>
            <w:vMerge w:val="restart"/>
            <w:tcBorders>
              <w:top w:val="single" w:sz="4" w:space="0" w:color="auto"/>
              <w:left w:val="single" w:sz="4" w:space="0" w:color="auto"/>
              <w:bottom w:val="single" w:sz="4" w:space="0" w:color="auto"/>
              <w:right w:val="nil"/>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538"/>
            </w:tblGrid>
            <w:tr w:rsidR="003F2037" w:rsidRPr="00FB1297" w14:paraId="2FC1AD33" w14:textId="77777777" w:rsidTr="005C584B">
              <w:trPr>
                <w:trHeight w:val="556"/>
              </w:trPr>
              <w:tc>
                <w:tcPr>
                  <w:tcW w:w="1907" w:type="dxa"/>
                </w:tcPr>
                <w:p w14:paraId="25DCCA55"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r w:rsidRPr="00FB1297">
                    <w:rPr>
                      <w:rFonts w:ascii="Arial Narrow" w:hAnsi="Arial Narrow" w:cs="Times New Roman"/>
                      <w:color w:val="000000"/>
                      <w:sz w:val="20"/>
                      <w:szCs w:val="20"/>
                    </w:rPr>
                    <w:t xml:space="preserve">Collected data are aggregated for at least one of the </w:t>
                  </w:r>
                  <w:r>
                    <w:rPr>
                      <w:rFonts w:ascii="Arial Narrow" w:hAnsi="Arial Narrow" w:cs="Times New Roman"/>
                      <w:color w:val="000000"/>
                      <w:sz w:val="20"/>
                      <w:szCs w:val="20"/>
                    </w:rPr>
                    <w:t>unit objectives</w:t>
                  </w:r>
                  <w:r w:rsidRPr="00FB1297">
                    <w:rPr>
                      <w:rFonts w:ascii="Arial Narrow" w:hAnsi="Arial Narrow" w:cs="Times New Roman"/>
                      <w:color w:val="000000"/>
                      <w:sz w:val="20"/>
                      <w:szCs w:val="20"/>
                    </w:rPr>
                    <w:t xml:space="preserve"> annually. </w:t>
                  </w:r>
                </w:p>
                <w:p w14:paraId="224AEF0E"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p>
              </w:tc>
            </w:tr>
          </w:tbl>
          <w:p w14:paraId="341E5173" w14:textId="77777777" w:rsidR="003F2037" w:rsidRPr="00FB1297" w:rsidRDefault="003F2037" w:rsidP="005C584B">
            <w:pPr>
              <w:rPr>
                <w:rFonts w:ascii="Arial Narrow" w:hAnsi="Arial Narrow" w:cs="Times New Roman"/>
                <w:sz w:val="20"/>
                <w:szCs w:val="20"/>
              </w:rPr>
            </w:pP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0A276D0A" w14:textId="77777777" w:rsidR="003F2037" w:rsidRPr="00FB1297" w:rsidRDefault="003F2037" w:rsidP="005C584B">
            <w:pPr>
              <w:jc w:val="both"/>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100" w:type="pct"/>
            <w:tcBorders>
              <w:top w:val="single" w:sz="4" w:space="0" w:color="auto"/>
              <w:left w:val="single" w:sz="4" w:space="0" w:color="auto"/>
              <w:bottom w:val="single" w:sz="4" w:space="0" w:color="auto"/>
              <w:right w:val="nil"/>
            </w:tcBorders>
            <w:shd w:val="clear" w:color="auto" w:fill="EEECE1" w:themeFill="background2"/>
          </w:tcPr>
          <w:p w14:paraId="258EDE51"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Collected data are aggregated for a majority of the </w:t>
            </w:r>
            <w:r>
              <w:rPr>
                <w:rFonts w:ascii="Arial Narrow" w:hAnsi="Arial Narrow" w:cs="Times New Roman"/>
                <w:sz w:val="20"/>
                <w:szCs w:val="20"/>
              </w:rPr>
              <w:t>unit objectives</w:t>
            </w:r>
            <w:r w:rsidRPr="00FB1297">
              <w:rPr>
                <w:rFonts w:ascii="Arial Narrow" w:hAnsi="Arial Narrow" w:cs="Times New Roman"/>
                <w:sz w:val="20"/>
                <w:szCs w:val="20"/>
              </w:rPr>
              <w:t xml:space="preserve"> annually.</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74F3A06A"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val="restart"/>
            <w:tcBorders>
              <w:top w:val="single" w:sz="4" w:space="0" w:color="auto"/>
              <w:left w:val="single" w:sz="4" w:space="0" w:color="auto"/>
              <w:bottom w:val="single" w:sz="4" w:space="0" w:color="auto"/>
              <w:right w:val="nil"/>
            </w:tcBorders>
            <w:shd w:val="clear" w:color="auto" w:fill="EEECE1" w:themeFill="background2"/>
          </w:tcPr>
          <w:p w14:paraId="415DFE4A"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Aggregated data are analyzed in a systematic manner to evaluate prior actions to improve </w:t>
            </w:r>
            <w:r>
              <w:rPr>
                <w:rFonts w:ascii="Arial Narrow" w:hAnsi="Arial Narrow" w:cs="Times New Roman"/>
                <w:sz w:val="20"/>
                <w:szCs w:val="20"/>
              </w:rPr>
              <w:t>unit activities</w:t>
            </w:r>
            <w:r w:rsidRPr="00FB1297">
              <w:rPr>
                <w:rFonts w:ascii="Arial Narrow" w:hAnsi="Arial Narrow" w:cs="Times New Roman"/>
                <w:sz w:val="20"/>
                <w:szCs w:val="20"/>
              </w:rPr>
              <w:t>.</w:t>
            </w: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4DF1396B"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275" w:type="pct"/>
            <w:vMerge w:val="restart"/>
            <w:tcBorders>
              <w:top w:val="single" w:sz="4" w:space="0" w:color="auto"/>
              <w:left w:val="single" w:sz="4" w:space="0" w:color="auto"/>
              <w:bottom w:val="single" w:sz="4" w:space="0" w:color="auto"/>
            </w:tcBorders>
            <w:shd w:val="clear" w:color="auto" w:fill="EAF1DD" w:themeFill="accent3" w:themeFillTint="33"/>
          </w:tcPr>
          <w:p w14:paraId="3A34A439" w14:textId="77777777" w:rsidR="003F2037" w:rsidRPr="00FB1297" w:rsidRDefault="003F2037" w:rsidP="005C584B">
            <w:pPr>
              <w:rPr>
                <w:rFonts w:ascii="Arial Narrow" w:hAnsi="Arial Narrow" w:cs="Times New Roman"/>
                <w:sz w:val="20"/>
                <w:szCs w:val="20"/>
              </w:rPr>
            </w:pPr>
          </w:p>
        </w:tc>
      </w:tr>
      <w:tr w:rsidR="003F2037" w:rsidRPr="00FB1297" w14:paraId="3CCE1471" w14:textId="77777777" w:rsidTr="005C584B">
        <w:trPr>
          <w:trHeight w:val="20"/>
        </w:trPr>
        <w:tc>
          <w:tcPr>
            <w:tcW w:w="510" w:type="pct"/>
            <w:vMerge/>
            <w:tcBorders>
              <w:top w:val="single" w:sz="4" w:space="0" w:color="auto"/>
              <w:right w:val="single" w:sz="4" w:space="0" w:color="auto"/>
            </w:tcBorders>
            <w:shd w:val="clear" w:color="auto" w:fill="FFFFFF" w:themeFill="background1"/>
          </w:tcPr>
          <w:p w14:paraId="0BDA1C84"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single" w:sz="4" w:space="0" w:color="auto"/>
              <w:left w:val="single" w:sz="4" w:space="0" w:color="auto"/>
              <w:bottom w:val="nil"/>
              <w:right w:val="nil"/>
            </w:tcBorders>
            <w:shd w:val="clear" w:color="auto" w:fill="FFFFFF" w:themeFill="background1"/>
          </w:tcPr>
          <w:p w14:paraId="4984B404"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02FAE2E9"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single" w:sz="4" w:space="0" w:color="auto"/>
              <w:left w:val="single" w:sz="4" w:space="0" w:color="auto"/>
              <w:bottom w:val="nil"/>
              <w:right w:val="nil"/>
            </w:tcBorders>
            <w:shd w:val="clear" w:color="auto" w:fill="FFFFFF" w:themeFill="background1"/>
          </w:tcPr>
          <w:p w14:paraId="6DDFB5DF"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3A5112D1"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EEECE1" w:themeFill="background2"/>
          </w:tcPr>
          <w:p w14:paraId="534BAE92"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A schedule is established to measure/collect data on all </w:t>
            </w:r>
            <w:r>
              <w:rPr>
                <w:rFonts w:ascii="Arial Narrow" w:hAnsi="Arial Narrow" w:cs="Times New Roman"/>
                <w:sz w:val="20"/>
                <w:szCs w:val="20"/>
              </w:rPr>
              <w:t>unit objectives</w:t>
            </w:r>
            <w:r w:rsidRPr="00FB1297">
              <w:rPr>
                <w:rFonts w:ascii="Arial Narrow" w:hAnsi="Arial Narrow" w:cs="Times New Roman"/>
                <w:sz w:val="20"/>
                <w:szCs w:val="20"/>
              </w:rPr>
              <w:t xml:space="preserve"> within a six-year timeframe.</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1974FE4B"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single" w:sz="4" w:space="0" w:color="auto"/>
              <w:left w:val="single" w:sz="4" w:space="0" w:color="auto"/>
              <w:bottom w:val="nil"/>
              <w:right w:val="nil"/>
            </w:tcBorders>
            <w:shd w:val="clear" w:color="auto" w:fill="FFFFFF" w:themeFill="background1"/>
          </w:tcPr>
          <w:p w14:paraId="384C4243" w14:textId="77777777" w:rsidR="003F2037" w:rsidRPr="00FB1297" w:rsidRDefault="003F2037" w:rsidP="005C584B">
            <w:pPr>
              <w:rPr>
                <w:rFonts w:ascii="Arial Narrow" w:hAnsi="Arial Narrow" w:cs="Times New Roman"/>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6096D4F6" w14:textId="77777777" w:rsidR="003F2037" w:rsidRPr="00FB1297" w:rsidRDefault="003F2037" w:rsidP="005C584B">
            <w:pPr>
              <w:rPr>
                <w:rFonts w:ascii="Arial Narrow" w:hAnsi="Arial Narrow" w:cs="Times New Roman"/>
                <w:sz w:val="20"/>
                <w:szCs w:val="20"/>
              </w:rPr>
            </w:pPr>
          </w:p>
        </w:tc>
        <w:tc>
          <w:tcPr>
            <w:tcW w:w="275" w:type="pct"/>
            <w:vMerge/>
            <w:tcBorders>
              <w:top w:val="single" w:sz="4" w:space="0" w:color="auto"/>
              <w:left w:val="single" w:sz="4" w:space="0" w:color="auto"/>
            </w:tcBorders>
            <w:shd w:val="clear" w:color="auto" w:fill="EAF1DD" w:themeFill="accent3" w:themeFillTint="33"/>
          </w:tcPr>
          <w:p w14:paraId="1574CC4B" w14:textId="77777777" w:rsidR="003F2037" w:rsidRPr="00FB1297" w:rsidRDefault="003F2037" w:rsidP="005C584B">
            <w:pPr>
              <w:rPr>
                <w:rFonts w:ascii="Arial Narrow" w:hAnsi="Arial Narrow" w:cs="Times New Roman"/>
                <w:sz w:val="20"/>
                <w:szCs w:val="20"/>
              </w:rPr>
            </w:pPr>
          </w:p>
        </w:tc>
      </w:tr>
      <w:tr w:rsidR="003F2037" w:rsidRPr="00FB1297" w14:paraId="1559CD3B" w14:textId="77777777" w:rsidTr="005C584B">
        <w:trPr>
          <w:trHeight w:val="20"/>
        </w:trPr>
        <w:tc>
          <w:tcPr>
            <w:tcW w:w="510" w:type="pct"/>
            <w:vMerge/>
            <w:tcBorders>
              <w:bottom w:val="single" w:sz="4" w:space="0" w:color="auto"/>
              <w:right w:val="single" w:sz="4" w:space="0" w:color="auto"/>
            </w:tcBorders>
            <w:shd w:val="clear" w:color="auto" w:fill="FFFFFF" w:themeFill="background1"/>
          </w:tcPr>
          <w:p w14:paraId="48F2F98F"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single" w:sz="4" w:space="0" w:color="auto"/>
              <w:right w:val="nil"/>
            </w:tcBorders>
            <w:shd w:val="clear" w:color="auto" w:fill="FFFFFF" w:themeFill="background1"/>
          </w:tcPr>
          <w:p w14:paraId="2C5CB9DE"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7C534818"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single" w:sz="4" w:space="0" w:color="auto"/>
              <w:right w:val="nil"/>
            </w:tcBorders>
            <w:shd w:val="clear" w:color="auto" w:fill="FFFFFF" w:themeFill="background1"/>
          </w:tcPr>
          <w:p w14:paraId="2201C7BE"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395883CA"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EEECE1" w:themeFill="background2"/>
          </w:tcPr>
          <w:p w14:paraId="13C4A5F7"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Collected and aggregated data are linked to specific </w:t>
            </w:r>
            <w:r>
              <w:rPr>
                <w:rFonts w:ascii="Arial Narrow" w:hAnsi="Arial Narrow" w:cs="Times New Roman"/>
                <w:sz w:val="20"/>
                <w:szCs w:val="20"/>
              </w:rPr>
              <w:t>unit objectives</w:t>
            </w:r>
            <w:r w:rsidRPr="00FB1297">
              <w:rPr>
                <w:rFonts w:ascii="Arial Narrow" w:hAnsi="Arial Narrow" w:cs="Times New Roman"/>
                <w:sz w:val="20"/>
                <w:szCs w:val="20"/>
              </w:rPr>
              <w:t xml:space="preserve">. </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7A1FB670"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single" w:sz="4" w:space="0" w:color="auto"/>
              <w:right w:val="nil"/>
            </w:tcBorders>
            <w:shd w:val="clear" w:color="auto" w:fill="FFFFFF" w:themeFill="background1"/>
          </w:tcPr>
          <w:p w14:paraId="2DA6F25B"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78AC56B6"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bottom w:val="single" w:sz="4" w:space="0" w:color="auto"/>
            </w:tcBorders>
            <w:shd w:val="clear" w:color="auto" w:fill="EAF1DD" w:themeFill="accent3" w:themeFillTint="33"/>
          </w:tcPr>
          <w:p w14:paraId="0687732A" w14:textId="77777777" w:rsidR="003F2037" w:rsidRPr="00FB1297" w:rsidRDefault="003F2037" w:rsidP="005C584B">
            <w:pPr>
              <w:rPr>
                <w:rFonts w:ascii="Arial Narrow" w:hAnsi="Arial Narrow" w:cs="Times New Roman"/>
                <w:sz w:val="20"/>
                <w:szCs w:val="20"/>
              </w:rPr>
            </w:pPr>
          </w:p>
        </w:tc>
      </w:tr>
      <w:tr w:rsidR="003F2037" w:rsidRPr="00FB1297" w14:paraId="30B00D39" w14:textId="77777777" w:rsidTr="005C584B">
        <w:trPr>
          <w:trHeight w:val="20"/>
        </w:trPr>
        <w:tc>
          <w:tcPr>
            <w:tcW w:w="510" w:type="pct"/>
            <w:vMerge w:val="restart"/>
            <w:tcBorders>
              <w:top w:val="single" w:sz="4" w:space="0" w:color="auto"/>
              <w:bottom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218"/>
            </w:tblGrid>
            <w:tr w:rsidR="003F2037" w:rsidRPr="00974EBB" w14:paraId="772C4C8C" w14:textId="77777777" w:rsidTr="005C584B">
              <w:trPr>
                <w:trHeight w:val="185"/>
              </w:trPr>
              <w:tc>
                <w:tcPr>
                  <w:tcW w:w="1250" w:type="dxa"/>
                </w:tcPr>
                <w:p w14:paraId="3123020A"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bCs/>
                      <w:iCs/>
                      <w:color w:val="000000"/>
                      <w:sz w:val="20"/>
                      <w:szCs w:val="20"/>
                    </w:rPr>
                  </w:pPr>
                  <w:r w:rsidRPr="00974EBB">
                    <w:rPr>
                      <w:rFonts w:ascii="Arial Narrow" w:hAnsi="Arial Narrow" w:cs="Times New Roman"/>
                      <w:b/>
                      <w:bCs/>
                      <w:iCs/>
                      <w:color w:val="000000"/>
                      <w:sz w:val="20"/>
                      <w:szCs w:val="20"/>
                    </w:rPr>
                    <w:t xml:space="preserve">Analysis by </w:t>
                  </w:r>
                  <w:r>
                    <w:rPr>
                      <w:rFonts w:ascii="Arial Narrow" w:hAnsi="Arial Narrow" w:cs="Times New Roman"/>
                      <w:b/>
                      <w:bCs/>
                      <w:iCs/>
                      <w:color w:val="000000"/>
                      <w:sz w:val="20"/>
                      <w:szCs w:val="20"/>
                    </w:rPr>
                    <w:t>Unit</w:t>
                  </w:r>
                </w:p>
                <w:p w14:paraId="2711F68D"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color w:val="000000"/>
                      <w:sz w:val="20"/>
                      <w:szCs w:val="20"/>
                    </w:rPr>
                  </w:pPr>
                </w:p>
              </w:tc>
            </w:tr>
          </w:tbl>
          <w:p w14:paraId="79818214" w14:textId="6B08CEBF" w:rsidR="003F2037" w:rsidRPr="00974EBB" w:rsidRDefault="005C584B" w:rsidP="005C584B">
            <w:pPr>
              <w:ind w:right="35"/>
              <w:rPr>
                <w:rFonts w:ascii="Arial Narrow" w:hAnsi="Arial Narrow" w:cs="Times New Roman"/>
                <w:b/>
                <w:sz w:val="20"/>
                <w:szCs w:val="20"/>
              </w:rPr>
            </w:pPr>
            <w:r>
              <w:rPr>
                <w:rFonts w:ascii="Arial Narrow" w:hAnsi="Arial Narrow" w:cs="Times New Roman"/>
                <w:b/>
                <w:sz w:val="20"/>
                <w:szCs w:val="20"/>
              </w:rPr>
              <w:fldChar w:fldCharType="begin"/>
            </w:r>
            <w:r>
              <w:rPr>
                <w:rFonts w:ascii="Arial Narrow" w:hAnsi="Arial Narrow" w:cs="Times New Roman"/>
                <w:b/>
                <w:sz w:val="20"/>
                <w:szCs w:val="20"/>
              </w:rPr>
              <w:instrText xml:space="preserve"> NUMPAGES  \* Arabic  \* MERGEFORMAT </w:instrText>
            </w:r>
            <w:r>
              <w:rPr>
                <w:rFonts w:ascii="Arial Narrow" w:hAnsi="Arial Narrow" w:cs="Times New Roman"/>
                <w:b/>
                <w:sz w:val="20"/>
                <w:szCs w:val="20"/>
              </w:rPr>
              <w:fldChar w:fldCharType="separate"/>
            </w:r>
            <w:r w:rsidR="004770AF">
              <w:rPr>
                <w:rFonts w:ascii="Arial Narrow" w:hAnsi="Arial Narrow" w:cs="Times New Roman"/>
                <w:b/>
                <w:noProof/>
                <w:sz w:val="20"/>
                <w:szCs w:val="20"/>
              </w:rPr>
              <w:t>14</w:t>
            </w:r>
            <w:r>
              <w:rPr>
                <w:rFonts w:ascii="Arial Narrow" w:hAnsi="Arial Narrow" w:cs="Times New Roman"/>
                <w:b/>
                <w:sz w:val="20"/>
                <w:szCs w:val="20"/>
              </w:rPr>
              <w:fldChar w:fldCharType="end"/>
            </w:r>
          </w:p>
        </w:tc>
        <w:tc>
          <w:tcPr>
            <w:tcW w:w="521" w:type="pct"/>
            <w:vMerge w:val="restart"/>
            <w:tcBorders>
              <w:top w:val="single" w:sz="4" w:space="0" w:color="auto"/>
              <w:left w:val="single" w:sz="4" w:space="0" w:color="auto"/>
              <w:bottom w:val="single" w:sz="4" w:space="0" w:color="auto"/>
              <w:right w:val="nil"/>
            </w:tcBorders>
            <w:shd w:val="clear" w:color="auto" w:fill="FFFFFF" w:themeFill="background1"/>
          </w:tcPr>
          <w:p w14:paraId="786836C4" w14:textId="77777777" w:rsidR="003F2037" w:rsidRPr="00FB1297" w:rsidRDefault="003F2037" w:rsidP="005C584B">
            <w:pPr>
              <w:autoSpaceDE w:val="0"/>
              <w:autoSpaceDN w:val="0"/>
              <w:adjustRightInd w:val="0"/>
              <w:rPr>
                <w:rFonts w:ascii="Arial Narrow" w:hAnsi="Arial Narrow"/>
                <w:sz w:val="20"/>
                <w:szCs w:val="20"/>
              </w:rPr>
            </w:pPr>
            <w:r>
              <w:rPr>
                <w:rFonts w:ascii="Arial Narrow" w:hAnsi="Arial Narrow"/>
                <w:sz w:val="20"/>
                <w:szCs w:val="20"/>
              </w:rPr>
              <w:t xml:space="preserve">Not Able to Rate </w:t>
            </w:r>
          </w:p>
        </w:tc>
        <w:tc>
          <w:tcPr>
            <w:tcW w:w="140" w:type="pct"/>
            <w:vMerge w:val="restart"/>
            <w:tcBorders>
              <w:top w:val="single" w:sz="4" w:space="0" w:color="auto"/>
              <w:left w:val="nil"/>
              <w:bottom w:val="single" w:sz="4" w:space="0" w:color="auto"/>
              <w:right w:val="single" w:sz="4" w:space="0" w:color="auto"/>
            </w:tcBorders>
            <w:shd w:val="clear" w:color="auto" w:fill="FFFFFF" w:themeFill="background1"/>
          </w:tcPr>
          <w:p w14:paraId="510A06FF" w14:textId="77777777" w:rsidR="003F2037" w:rsidRPr="006027DB"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p w14:paraId="08BB3FFA" w14:textId="77777777" w:rsidR="003F2037" w:rsidRPr="006027DB" w:rsidRDefault="003F2037" w:rsidP="005C584B">
            <w:pPr>
              <w:rPr>
                <w:rFonts w:ascii="Arial Narrow" w:hAnsi="Arial Narrow" w:cs="Times New Roman"/>
                <w:sz w:val="20"/>
                <w:szCs w:val="20"/>
              </w:rPr>
            </w:pPr>
          </w:p>
        </w:tc>
        <w:tc>
          <w:tcPr>
            <w:tcW w:w="1057" w:type="pct"/>
            <w:vMerge w:val="restart"/>
            <w:tcBorders>
              <w:top w:val="single" w:sz="4" w:space="0" w:color="auto"/>
              <w:left w:val="single" w:sz="4" w:space="0" w:color="auto"/>
              <w:bottom w:val="single" w:sz="4" w:space="0" w:color="auto"/>
              <w:right w:val="nil"/>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538"/>
            </w:tblGrid>
            <w:tr w:rsidR="003F2037" w:rsidRPr="00FB1297" w14:paraId="4329080A" w14:textId="77777777" w:rsidTr="005C584B">
              <w:trPr>
                <w:trHeight w:val="671"/>
              </w:trPr>
              <w:tc>
                <w:tcPr>
                  <w:tcW w:w="1907" w:type="dxa"/>
                </w:tcPr>
                <w:p w14:paraId="12921D69"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r w:rsidRPr="00FB1297">
                    <w:rPr>
                      <w:rFonts w:ascii="Arial Narrow" w:hAnsi="Arial Narrow" w:cs="Times New Roman"/>
                      <w:color w:val="000000"/>
                      <w:sz w:val="20"/>
                      <w:szCs w:val="20"/>
                    </w:rPr>
                    <w:t xml:space="preserve">Assessment coordinator/leader and department chair received annual assessment results. </w:t>
                  </w:r>
                </w:p>
                <w:p w14:paraId="0A7EF27B"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p>
              </w:tc>
            </w:tr>
          </w:tbl>
          <w:p w14:paraId="182639AF" w14:textId="77777777" w:rsidR="003F2037" w:rsidRPr="00FB1297" w:rsidRDefault="003F2037" w:rsidP="005C584B">
            <w:pPr>
              <w:rPr>
                <w:rFonts w:ascii="Arial Narrow" w:hAnsi="Arial Narrow" w:cs="Times New Roman"/>
                <w:sz w:val="20"/>
                <w:szCs w:val="20"/>
              </w:rPr>
            </w:pPr>
          </w:p>
        </w:tc>
        <w:tc>
          <w:tcPr>
            <w:tcW w:w="140" w:type="pct"/>
            <w:vMerge w:val="restart"/>
            <w:tcBorders>
              <w:top w:val="single" w:sz="4" w:space="0" w:color="auto"/>
              <w:left w:val="nil"/>
              <w:bottom w:val="single" w:sz="4" w:space="0" w:color="auto"/>
              <w:right w:val="single" w:sz="4" w:space="0" w:color="auto"/>
            </w:tcBorders>
            <w:shd w:val="clear" w:color="auto" w:fill="FFFFFF" w:themeFill="background1"/>
          </w:tcPr>
          <w:p w14:paraId="0D7F9E15" w14:textId="77777777" w:rsidR="003F2037" w:rsidRPr="00FB1297" w:rsidRDefault="003F2037" w:rsidP="005C584B">
            <w:pPr>
              <w:jc w:val="both"/>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100" w:type="pct"/>
            <w:tcBorders>
              <w:top w:val="single" w:sz="4" w:space="0" w:color="auto"/>
              <w:left w:val="single" w:sz="4" w:space="0" w:color="auto"/>
              <w:bottom w:val="single" w:sz="4" w:space="0" w:color="auto"/>
              <w:right w:val="nil"/>
            </w:tcBorders>
            <w:shd w:val="clear" w:color="auto" w:fill="FFFFFF" w:themeFill="background1"/>
          </w:tcPr>
          <w:p w14:paraId="73E0453F"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Relevant staff/faculty</w:t>
            </w:r>
            <w:r w:rsidRPr="00FB1297">
              <w:rPr>
                <w:rFonts w:ascii="Arial Narrow" w:hAnsi="Arial Narrow" w:cs="Times New Roman"/>
                <w:sz w:val="20"/>
                <w:szCs w:val="20"/>
              </w:rPr>
              <w:t xml:space="preserve"> received annual assessment results</w:t>
            </w:r>
            <w:r>
              <w:rPr>
                <w:rFonts w:ascii="Arial Narrow" w:hAnsi="Arial Narrow" w:cs="Times New Roman"/>
                <w:sz w:val="20"/>
                <w:szCs w:val="20"/>
              </w:rPr>
              <w:t>.</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7DCD75DF"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val="restart"/>
            <w:tcBorders>
              <w:top w:val="single" w:sz="4" w:space="0" w:color="auto"/>
              <w:left w:val="single" w:sz="4" w:space="0" w:color="auto"/>
              <w:bottom w:val="single" w:sz="4" w:space="0" w:color="auto"/>
              <w:right w:val="nil"/>
            </w:tcBorders>
            <w:shd w:val="clear" w:color="auto" w:fill="FFFFFF" w:themeFill="background1"/>
          </w:tcPr>
          <w:p w14:paraId="4E2FF31B"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Staff/f</w:t>
            </w:r>
            <w:r w:rsidRPr="00FB1297">
              <w:rPr>
                <w:rFonts w:ascii="Arial Narrow" w:hAnsi="Arial Narrow" w:cs="Times New Roman"/>
                <w:sz w:val="20"/>
                <w:szCs w:val="20"/>
              </w:rPr>
              <w:t xml:space="preserve">aculty synthesized results from multiple measures to form specific conclusions </w:t>
            </w:r>
            <w:r>
              <w:rPr>
                <w:rFonts w:ascii="Arial Narrow" w:hAnsi="Arial Narrow" w:cs="Times New Roman"/>
                <w:sz w:val="20"/>
                <w:szCs w:val="20"/>
              </w:rPr>
              <w:t xml:space="preserve">about </w:t>
            </w:r>
            <w:r w:rsidRPr="00FB1297">
              <w:rPr>
                <w:rFonts w:ascii="Arial Narrow" w:hAnsi="Arial Narrow" w:cs="Times New Roman"/>
                <w:sz w:val="20"/>
                <w:szCs w:val="20"/>
              </w:rPr>
              <w:t xml:space="preserve">assessment of </w:t>
            </w:r>
            <w:r>
              <w:rPr>
                <w:rFonts w:ascii="Arial Narrow" w:hAnsi="Arial Narrow" w:cs="Times New Roman"/>
                <w:sz w:val="20"/>
                <w:szCs w:val="20"/>
              </w:rPr>
              <w:t>unit objectives</w:t>
            </w:r>
            <w:r w:rsidRPr="00FB1297">
              <w:rPr>
                <w:rFonts w:ascii="Arial Narrow" w:hAnsi="Arial Narrow" w:cs="Times New Roman"/>
                <w:sz w:val="20"/>
                <w:szCs w:val="20"/>
              </w:rPr>
              <w:t>.</w:t>
            </w:r>
          </w:p>
        </w:tc>
        <w:tc>
          <w:tcPr>
            <w:tcW w:w="140" w:type="pct"/>
            <w:vMerge w:val="restart"/>
            <w:tcBorders>
              <w:top w:val="single" w:sz="4" w:space="0" w:color="auto"/>
              <w:left w:val="nil"/>
              <w:bottom w:val="single" w:sz="4" w:space="0" w:color="auto"/>
              <w:right w:val="single" w:sz="4" w:space="0" w:color="auto"/>
            </w:tcBorders>
            <w:shd w:val="clear" w:color="auto" w:fill="FFFFFF" w:themeFill="background1"/>
          </w:tcPr>
          <w:p w14:paraId="208E3FD5"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275" w:type="pct"/>
            <w:vMerge w:val="restart"/>
            <w:tcBorders>
              <w:top w:val="single" w:sz="4" w:space="0" w:color="auto"/>
              <w:left w:val="single" w:sz="4" w:space="0" w:color="auto"/>
            </w:tcBorders>
            <w:shd w:val="clear" w:color="auto" w:fill="EAF1DD" w:themeFill="accent3" w:themeFillTint="33"/>
          </w:tcPr>
          <w:p w14:paraId="0C338CDF" w14:textId="77777777" w:rsidR="003F2037" w:rsidRPr="00FB1297" w:rsidRDefault="003F2037" w:rsidP="005C584B">
            <w:pPr>
              <w:rPr>
                <w:rFonts w:ascii="Arial Narrow" w:hAnsi="Arial Narrow" w:cs="Times New Roman"/>
                <w:sz w:val="20"/>
                <w:szCs w:val="20"/>
              </w:rPr>
            </w:pPr>
          </w:p>
        </w:tc>
      </w:tr>
      <w:tr w:rsidR="003F2037" w:rsidRPr="00FB1297" w14:paraId="7AB3AAF9" w14:textId="77777777" w:rsidTr="005C584B">
        <w:trPr>
          <w:trHeight w:val="20"/>
        </w:trPr>
        <w:tc>
          <w:tcPr>
            <w:tcW w:w="510" w:type="pct"/>
            <w:vMerge/>
            <w:tcBorders>
              <w:top w:val="single" w:sz="4" w:space="0" w:color="auto"/>
              <w:right w:val="single" w:sz="4" w:space="0" w:color="auto"/>
            </w:tcBorders>
            <w:shd w:val="clear" w:color="auto" w:fill="FFFFFF" w:themeFill="background1"/>
          </w:tcPr>
          <w:p w14:paraId="6CF7FEC0"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single" w:sz="4" w:space="0" w:color="auto"/>
              <w:left w:val="single" w:sz="4" w:space="0" w:color="auto"/>
              <w:bottom w:val="nil"/>
              <w:right w:val="nil"/>
            </w:tcBorders>
            <w:shd w:val="clear" w:color="auto" w:fill="FFFFFF" w:themeFill="background1"/>
          </w:tcPr>
          <w:p w14:paraId="00F4EAB0"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4EDC1ACF"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single" w:sz="4" w:space="0" w:color="auto"/>
              <w:left w:val="single" w:sz="4" w:space="0" w:color="auto"/>
              <w:bottom w:val="nil"/>
              <w:right w:val="nil"/>
            </w:tcBorders>
            <w:shd w:val="clear" w:color="auto" w:fill="FFFFFF" w:themeFill="background1"/>
          </w:tcPr>
          <w:p w14:paraId="6CFD4BDE"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4C5472B1"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FFFFFF" w:themeFill="background1"/>
          </w:tcPr>
          <w:p w14:paraId="5EC0D1A2"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Relevant staff/faculty</w:t>
            </w:r>
            <w:r w:rsidRPr="00FB1297">
              <w:rPr>
                <w:rFonts w:ascii="Arial Narrow" w:hAnsi="Arial Narrow" w:cs="Times New Roman"/>
                <w:sz w:val="20"/>
                <w:szCs w:val="20"/>
              </w:rPr>
              <w:t xml:space="preserve"> met to discuss assessment results in depth.</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26370BD2"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single" w:sz="4" w:space="0" w:color="auto"/>
              <w:left w:val="single" w:sz="4" w:space="0" w:color="auto"/>
              <w:bottom w:val="nil"/>
              <w:right w:val="nil"/>
            </w:tcBorders>
            <w:shd w:val="clear" w:color="auto" w:fill="FFFFFF" w:themeFill="background1"/>
          </w:tcPr>
          <w:p w14:paraId="28CD3435" w14:textId="77777777" w:rsidR="003F2037" w:rsidRPr="00FB1297" w:rsidRDefault="003F2037" w:rsidP="005C584B">
            <w:pPr>
              <w:rPr>
                <w:rFonts w:ascii="Arial Narrow" w:hAnsi="Arial Narrow" w:cs="Times New Roman"/>
                <w:sz w:val="20"/>
                <w:szCs w:val="20"/>
              </w:rPr>
            </w:pPr>
          </w:p>
        </w:tc>
        <w:tc>
          <w:tcPr>
            <w:tcW w:w="140" w:type="pct"/>
            <w:vMerge/>
            <w:tcBorders>
              <w:top w:val="single" w:sz="4" w:space="0" w:color="auto"/>
              <w:left w:val="nil"/>
              <w:bottom w:val="nil"/>
              <w:right w:val="single" w:sz="4" w:space="0" w:color="auto"/>
            </w:tcBorders>
            <w:shd w:val="clear" w:color="auto" w:fill="FFFFFF" w:themeFill="background1"/>
          </w:tcPr>
          <w:p w14:paraId="6358A294"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5A61F2FD" w14:textId="77777777" w:rsidR="003F2037" w:rsidRPr="00FB1297" w:rsidRDefault="003F2037" w:rsidP="005C584B">
            <w:pPr>
              <w:rPr>
                <w:rFonts w:ascii="Arial Narrow" w:hAnsi="Arial Narrow" w:cs="Times New Roman"/>
                <w:sz w:val="20"/>
                <w:szCs w:val="20"/>
              </w:rPr>
            </w:pPr>
          </w:p>
        </w:tc>
      </w:tr>
      <w:tr w:rsidR="003F2037" w:rsidRPr="00FB1297" w14:paraId="4C1865BA" w14:textId="77777777" w:rsidTr="005C584B">
        <w:trPr>
          <w:trHeight w:val="20"/>
        </w:trPr>
        <w:tc>
          <w:tcPr>
            <w:tcW w:w="510" w:type="pct"/>
            <w:vMerge/>
            <w:tcBorders>
              <w:bottom w:val="single" w:sz="4" w:space="0" w:color="auto"/>
              <w:right w:val="single" w:sz="4" w:space="0" w:color="auto"/>
            </w:tcBorders>
            <w:shd w:val="clear" w:color="auto" w:fill="FFFFFF" w:themeFill="background1"/>
          </w:tcPr>
          <w:p w14:paraId="59B31535"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single" w:sz="4" w:space="0" w:color="auto"/>
              <w:right w:val="nil"/>
            </w:tcBorders>
            <w:shd w:val="clear" w:color="auto" w:fill="FFFFFF" w:themeFill="background1"/>
          </w:tcPr>
          <w:p w14:paraId="46416ABF"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56A8E8B8"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single" w:sz="4" w:space="0" w:color="auto"/>
              <w:right w:val="nil"/>
            </w:tcBorders>
            <w:shd w:val="clear" w:color="auto" w:fill="FFFFFF" w:themeFill="background1"/>
          </w:tcPr>
          <w:p w14:paraId="28F4B1B0"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4E51746B"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FFFFFF" w:themeFill="background1"/>
          </w:tcPr>
          <w:p w14:paraId="25EC11A7"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Specific conclusions about </w:t>
            </w:r>
            <w:r>
              <w:rPr>
                <w:rFonts w:ascii="Arial Narrow" w:hAnsi="Arial Narrow" w:cs="Times New Roman"/>
                <w:sz w:val="20"/>
                <w:szCs w:val="20"/>
              </w:rPr>
              <w:t>unit activity</w:t>
            </w:r>
            <w:r w:rsidRPr="00FB1297">
              <w:rPr>
                <w:rFonts w:ascii="Arial Narrow" w:hAnsi="Arial Narrow" w:cs="Times New Roman"/>
                <w:sz w:val="20"/>
                <w:szCs w:val="20"/>
              </w:rPr>
              <w:t xml:space="preserve"> made based on assessment results.</w:t>
            </w:r>
          </w:p>
        </w:tc>
        <w:tc>
          <w:tcPr>
            <w:tcW w:w="140" w:type="pct"/>
            <w:tcBorders>
              <w:top w:val="single" w:sz="4" w:space="0" w:color="auto"/>
              <w:left w:val="nil"/>
              <w:bottom w:val="single" w:sz="4" w:space="0" w:color="auto"/>
              <w:right w:val="single" w:sz="4" w:space="0" w:color="auto"/>
            </w:tcBorders>
            <w:shd w:val="clear" w:color="auto" w:fill="FFFFFF" w:themeFill="background1"/>
          </w:tcPr>
          <w:p w14:paraId="6C6DF2E8"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single" w:sz="4" w:space="0" w:color="auto"/>
              <w:right w:val="nil"/>
            </w:tcBorders>
            <w:shd w:val="clear" w:color="auto" w:fill="FFFFFF" w:themeFill="background1"/>
          </w:tcPr>
          <w:p w14:paraId="510C93CF"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single" w:sz="4" w:space="0" w:color="auto"/>
              <w:right w:val="single" w:sz="4" w:space="0" w:color="auto"/>
            </w:tcBorders>
            <w:shd w:val="clear" w:color="auto" w:fill="FFFFFF" w:themeFill="background1"/>
          </w:tcPr>
          <w:p w14:paraId="6A8F4AD5"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1636B708" w14:textId="77777777" w:rsidR="003F2037" w:rsidRPr="00FB1297" w:rsidRDefault="003F2037" w:rsidP="005C584B">
            <w:pPr>
              <w:rPr>
                <w:rFonts w:ascii="Arial Narrow" w:hAnsi="Arial Narrow" w:cs="Times New Roman"/>
                <w:sz w:val="20"/>
                <w:szCs w:val="20"/>
              </w:rPr>
            </w:pPr>
          </w:p>
        </w:tc>
      </w:tr>
      <w:tr w:rsidR="003F2037" w:rsidRPr="00FB1297" w14:paraId="28958AD3" w14:textId="77777777" w:rsidTr="005C584B">
        <w:trPr>
          <w:trHeight w:val="20"/>
        </w:trPr>
        <w:tc>
          <w:tcPr>
            <w:tcW w:w="510" w:type="pct"/>
            <w:vMerge w:val="restart"/>
            <w:tcBorders>
              <w:top w:val="single" w:sz="4" w:space="0" w:color="auto"/>
              <w:bottom w:val="single" w:sz="4" w:space="0" w:color="auto"/>
              <w:right w:val="single" w:sz="4" w:space="0" w:color="auto"/>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218"/>
            </w:tblGrid>
            <w:tr w:rsidR="003F2037" w:rsidRPr="00974EBB" w14:paraId="79CBDE45" w14:textId="77777777" w:rsidTr="005C584B">
              <w:trPr>
                <w:trHeight w:val="601"/>
              </w:trPr>
              <w:tc>
                <w:tcPr>
                  <w:tcW w:w="1253" w:type="dxa"/>
                </w:tcPr>
                <w:p w14:paraId="5F0376C5"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bCs/>
                      <w:iCs/>
                      <w:color w:val="000000"/>
                      <w:sz w:val="20"/>
                      <w:szCs w:val="20"/>
                    </w:rPr>
                  </w:pPr>
                  <w:r w:rsidRPr="00974EBB">
                    <w:rPr>
                      <w:rFonts w:ascii="Arial Narrow" w:hAnsi="Arial Narrow" w:cs="Times New Roman"/>
                      <w:b/>
                      <w:color w:val="000000"/>
                      <w:sz w:val="20"/>
                      <w:szCs w:val="20"/>
                    </w:rPr>
                    <w:t>Act</w:t>
                  </w:r>
                  <w:r w:rsidRPr="00974EBB">
                    <w:rPr>
                      <w:rFonts w:ascii="Arial Narrow" w:hAnsi="Arial Narrow" w:cs="Times New Roman"/>
                      <w:b/>
                      <w:bCs/>
                      <w:iCs/>
                      <w:color w:val="000000"/>
                      <w:sz w:val="20"/>
                      <w:szCs w:val="20"/>
                    </w:rPr>
                    <w:t xml:space="preserve">ions to Improve </w:t>
                  </w:r>
                  <w:r>
                    <w:rPr>
                      <w:rFonts w:ascii="Arial Narrow" w:hAnsi="Arial Narrow" w:cs="Times New Roman"/>
                      <w:b/>
                      <w:bCs/>
                      <w:iCs/>
                      <w:color w:val="000000"/>
                      <w:sz w:val="20"/>
                      <w:szCs w:val="20"/>
                    </w:rPr>
                    <w:t>Unit Operations</w:t>
                  </w:r>
                </w:p>
                <w:p w14:paraId="22F05A7B" w14:textId="77777777" w:rsidR="003F2037" w:rsidRPr="00974EBB" w:rsidRDefault="003F2037" w:rsidP="005C584B">
                  <w:pPr>
                    <w:autoSpaceDE w:val="0"/>
                    <w:autoSpaceDN w:val="0"/>
                    <w:adjustRightInd w:val="0"/>
                    <w:spacing w:after="0" w:line="240" w:lineRule="auto"/>
                    <w:ind w:right="35"/>
                    <w:rPr>
                      <w:rFonts w:ascii="Arial Narrow" w:hAnsi="Arial Narrow" w:cs="Times New Roman"/>
                      <w:b/>
                      <w:color w:val="000000"/>
                      <w:sz w:val="20"/>
                      <w:szCs w:val="20"/>
                    </w:rPr>
                  </w:pPr>
                </w:p>
              </w:tc>
            </w:tr>
          </w:tbl>
          <w:p w14:paraId="1D1B091C" w14:textId="77777777" w:rsidR="003F2037" w:rsidRPr="00974EBB" w:rsidRDefault="003F2037" w:rsidP="005C584B">
            <w:pPr>
              <w:ind w:right="35"/>
              <w:rPr>
                <w:rFonts w:ascii="Arial Narrow" w:hAnsi="Arial Narrow" w:cs="Times New Roman"/>
                <w:b/>
                <w:sz w:val="20"/>
                <w:szCs w:val="20"/>
              </w:rPr>
            </w:pPr>
          </w:p>
        </w:tc>
        <w:tc>
          <w:tcPr>
            <w:tcW w:w="521" w:type="pct"/>
            <w:vMerge w:val="restart"/>
            <w:tcBorders>
              <w:top w:val="single" w:sz="4" w:space="0" w:color="auto"/>
              <w:left w:val="single" w:sz="4" w:space="0" w:color="auto"/>
              <w:bottom w:val="single" w:sz="4" w:space="0" w:color="auto"/>
              <w:right w:val="nil"/>
            </w:tcBorders>
            <w:shd w:val="clear" w:color="auto" w:fill="EEECE1" w:themeFill="background2"/>
          </w:tcPr>
          <w:p w14:paraId="31393D62" w14:textId="77777777" w:rsidR="003F2037" w:rsidRPr="00FB1297" w:rsidRDefault="003F2037" w:rsidP="005C584B">
            <w:pPr>
              <w:autoSpaceDE w:val="0"/>
              <w:autoSpaceDN w:val="0"/>
              <w:adjustRightInd w:val="0"/>
              <w:rPr>
                <w:rFonts w:ascii="Arial Narrow" w:hAnsi="Arial Narrow"/>
                <w:sz w:val="20"/>
                <w:szCs w:val="20"/>
              </w:rPr>
            </w:pPr>
            <w:r>
              <w:rPr>
                <w:rFonts w:ascii="Arial Narrow" w:hAnsi="Arial Narrow"/>
                <w:sz w:val="20"/>
                <w:szCs w:val="20"/>
              </w:rPr>
              <w:t xml:space="preserve">Not Able to Rate </w:t>
            </w: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7BF493A4" w14:textId="77777777" w:rsidR="003F2037" w:rsidRPr="006027DB"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p w14:paraId="70D0FFDF" w14:textId="77777777" w:rsidR="003F2037" w:rsidRPr="006027DB" w:rsidRDefault="003F2037" w:rsidP="005C584B">
            <w:pPr>
              <w:rPr>
                <w:rFonts w:ascii="Arial Narrow" w:hAnsi="Arial Narrow" w:cs="Times New Roman"/>
                <w:sz w:val="20"/>
                <w:szCs w:val="20"/>
              </w:rPr>
            </w:pPr>
          </w:p>
        </w:tc>
        <w:tc>
          <w:tcPr>
            <w:tcW w:w="1057" w:type="pct"/>
            <w:vMerge w:val="restart"/>
            <w:tcBorders>
              <w:top w:val="single" w:sz="4" w:space="0" w:color="auto"/>
              <w:left w:val="single" w:sz="4" w:space="0" w:color="auto"/>
              <w:bottom w:val="single" w:sz="4" w:space="0" w:color="auto"/>
              <w:right w:val="nil"/>
            </w:tcBorders>
            <w:shd w:val="clear" w:color="auto" w:fill="EEECE1" w:themeFill="background2"/>
          </w:tcPr>
          <w:tbl>
            <w:tblPr>
              <w:tblW w:w="0" w:type="auto"/>
              <w:tblBorders>
                <w:top w:val="nil"/>
                <w:left w:val="nil"/>
                <w:bottom w:val="nil"/>
                <w:right w:val="nil"/>
              </w:tblBorders>
              <w:tblLook w:val="0000" w:firstRow="0" w:lastRow="0" w:firstColumn="0" w:lastColumn="0" w:noHBand="0" w:noVBand="0"/>
            </w:tblPr>
            <w:tblGrid>
              <w:gridCol w:w="1538"/>
            </w:tblGrid>
            <w:tr w:rsidR="003F2037" w:rsidRPr="00FB1297" w14:paraId="00FE1C6C" w14:textId="77777777" w:rsidTr="005C584B">
              <w:trPr>
                <w:trHeight w:val="785"/>
              </w:trPr>
              <w:tc>
                <w:tcPr>
                  <w:tcW w:w="1907" w:type="dxa"/>
                </w:tcPr>
                <w:p w14:paraId="1CF5139D" w14:textId="77777777" w:rsidR="003F2037" w:rsidRPr="00FB1297" w:rsidRDefault="003F2037" w:rsidP="005C584B">
                  <w:pPr>
                    <w:autoSpaceDE w:val="0"/>
                    <w:autoSpaceDN w:val="0"/>
                    <w:adjustRightInd w:val="0"/>
                    <w:spacing w:after="0" w:line="240" w:lineRule="auto"/>
                    <w:rPr>
                      <w:rFonts w:ascii="Arial Narrow" w:hAnsi="Arial Narrow" w:cs="Times New Roman"/>
                      <w:color w:val="000000"/>
                      <w:sz w:val="20"/>
                      <w:szCs w:val="20"/>
                    </w:rPr>
                  </w:pPr>
                  <w:r w:rsidRPr="00FB1297">
                    <w:rPr>
                      <w:rFonts w:ascii="Arial Narrow" w:hAnsi="Arial Narrow" w:cs="Times New Roman"/>
                      <w:color w:val="000000"/>
                      <w:sz w:val="20"/>
                      <w:szCs w:val="20"/>
                    </w:rPr>
                    <w:t xml:space="preserve">At least one issue involving assessment of </w:t>
                  </w:r>
                  <w:r>
                    <w:rPr>
                      <w:rFonts w:ascii="Arial Narrow" w:hAnsi="Arial Narrow" w:cs="Times New Roman"/>
                      <w:color w:val="000000"/>
                      <w:sz w:val="20"/>
                      <w:szCs w:val="20"/>
                    </w:rPr>
                    <w:t>unit objectives</w:t>
                  </w:r>
                  <w:r w:rsidRPr="00FB1297">
                    <w:rPr>
                      <w:rFonts w:ascii="Arial Narrow" w:hAnsi="Arial Narrow" w:cs="Times New Roman"/>
                      <w:color w:val="000000"/>
                      <w:sz w:val="20"/>
                      <w:szCs w:val="20"/>
                    </w:rPr>
                    <w:t xml:space="preserve"> identified but no action </w:t>
                  </w:r>
                  <w:r>
                    <w:rPr>
                      <w:rFonts w:ascii="Arial Narrow" w:hAnsi="Arial Narrow" w:cs="Times New Roman"/>
                      <w:color w:val="000000"/>
                      <w:sz w:val="20"/>
                      <w:szCs w:val="20"/>
                    </w:rPr>
                    <w:t>w</w:t>
                  </w:r>
                  <w:r w:rsidRPr="00FB1297">
                    <w:rPr>
                      <w:rFonts w:ascii="Arial Narrow" w:hAnsi="Arial Narrow" w:cs="Times New Roman"/>
                      <w:color w:val="000000"/>
                      <w:sz w:val="20"/>
                      <w:szCs w:val="20"/>
                    </w:rPr>
                    <w:t xml:space="preserve">as yet taken. </w:t>
                  </w:r>
                </w:p>
              </w:tc>
            </w:tr>
          </w:tbl>
          <w:p w14:paraId="2F94F90F" w14:textId="77777777" w:rsidR="003F2037" w:rsidRPr="00FB1297" w:rsidRDefault="003F2037" w:rsidP="005C584B">
            <w:pPr>
              <w:rPr>
                <w:rFonts w:ascii="Arial Narrow" w:hAnsi="Arial Narrow" w:cs="Times New Roman"/>
                <w:sz w:val="20"/>
                <w:szCs w:val="20"/>
              </w:rPr>
            </w:pP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0123732B" w14:textId="77777777" w:rsidR="003F2037" w:rsidRPr="00FB1297" w:rsidRDefault="003F2037" w:rsidP="005C584B">
            <w:pPr>
              <w:jc w:val="both"/>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1100" w:type="pct"/>
            <w:tcBorders>
              <w:top w:val="single" w:sz="4" w:space="0" w:color="auto"/>
              <w:left w:val="single" w:sz="4" w:space="0" w:color="auto"/>
              <w:bottom w:val="single" w:sz="4" w:space="0" w:color="auto"/>
              <w:right w:val="nil"/>
            </w:tcBorders>
            <w:shd w:val="clear" w:color="auto" w:fill="EEECE1" w:themeFill="background2"/>
          </w:tcPr>
          <w:p w14:paraId="4805F8DF"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At least one action is identified to improve </w:t>
            </w:r>
            <w:r>
              <w:rPr>
                <w:rFonts w:ascii="Arial Narrow" w:hAnsi="Arial Narrow" w:cs="Times New Roman"/>
                <w:sz w:val="20"/>
                <w:szCs w:val="20"/>
              </w:rPr>
              <w:t>unit operations</w:t>
            </w:r>
            <w:r w:rsidRPr="00FB1297">
              <w:rPr>
                <w:rFonts w:ascii="Arial Narrow" w:hAnsi="Arial Narrow" w:cs="Times New Roman"/>
                <w:sz w:val="20"/>
                <w:szCs w:val="20"/>
              </w:rPr>
              <w:t>.</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282966B5"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val="restart"/>
            <w:tcBorders>
              <w:top w:val="single" w:sz="4" w:space="0" w:color="auto"/>
              <w:left w:val="single" w:sz="4" w:space="0" w:color="auto"/>
              <w:bottom w:val="single" w:sz="4" w:space="0" w:color="auto"/>
              <w:right w:val="nil"/>
            </w:tcBorders>
            <w:shd w:val="clear" w:color="auto" w:fill="EEECE1" w:themeFill="background2"/>
          </w:tcPr>
          <w:p w14:paraId="5755F35C"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Description of specific actions and assessment methods for improvement </w:t>
            </w:r>
            <w:r>
              <w:rPr>
                <w:rFonts w:ascii="Arial Narrow" w:hAnsi="Arial Narrow" w:cs="Times New Roman"/>
                <w:sz w:val="20"/>
                <w:szCs w:val="20"/>
              </w:rPr>
              <w:t>of unit operations that</w:t>
            </w:r>
            <w:r w:rsidRPr="00FB1297">
              <w:rPr>
                <w:rFonts w:ascii="Arial Narrow" w:hAnsi="Arial Narrow" w:cs="Times New Roman"/>
                <w:sz w:val="20"/>
                <w:szCs w:val="20"/>
              </w:rPr>
              <w:t xml:space="preserve"> are based on analysis of actions for improvement defi</w:t>
            </w:r>
            <w:r>
              <w:rPr>
                <w:rFonts w:ascii="Arial Narrow" w:hAnsi="Arial Narrow" w:cs="Times New Roman"/>
                <w:sz w:val="20"/>
                <w:szCs w:val="20"/>
              </w:rPr>
              <w:t>n</w:t>
            </w:r>
            <w:r w:rsidRPr="00FB1297">
              <w:rPr>
                <w:rFonts w:ascii="Arial Narrow" w:hAnsi="Arial Narrow" w:cs="Times New Roman"/>
                <w:sz w:val="20"/>
                <w:szCs w:val="20"/>
              </w:rPr>
              <w:t>ed in previous years.</w:t>
            </w:r>
          </w:p>
        </w:tc>
        <w:tc>
          <w:tcPr>
            <w:tcW w:w="140" w:type="pct"/>
            <w:vMerge w:val="restart"/>
            <w:tcBorders>
              <w:top w:val="single" w:sz="4" w:space="0" w:color="auto"/>
              <w:left w:val="nil"/>
              <w:bottom w:val="single" w:sz="4" w:space="0" w:color="auto"/>
              <w:right w:val="single" w:sz="4" w:space="0" w:color="auto"/>
            </w:tcBorders>
            <w:shd w:val="clear" w:color="auto" w:fill="EEECE1" w:themeFill="background2"/>
          </w:tcPr>
          <w:p w14:paraId="176606D0"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275" w:type="pct"/>
            <w:vMerge w:val="restart"/>
            <w:tcBorders>
              <w:left w:val="single" w:sz="4" w:space="0" w:color="auto"/>
            </w:tcBorders>
            <w:shd w:val="clear" w:color="auto" w:fill="EAF1DD" w:themeFill="accent3" w:themeFillTint="33"/>
          </w:tcPr>
          <w:p w14:paraId="40200CBD" w14:textId="77777777" w:rsidR="003F2037" w:rsidRPr="00FB1297" w:rsidRDefault="003F2037" w:rsidP="005C584B">
            <w:pPr>
              <w:rPr>
                <w:rFonts w:ascii="Arial Narrow" w:hAnsi="Arial Narrow" w:cs="Times New Roman"/>
                <w:sz w:val="20"/>
                <w:szCs w:val="20"/>
              </w:rPr>
            </w:pPr>
          </w:p>
        </w:tc>
      </w:tr>
      <w:tr w:rsidR="003F2037" w:rsidRPr="00FB1297" w14:paraId="48D1F6E3" w14:textId="77777777" w:rsidTr="005C584B">
        <w:trPr>
          <w:trHeight w:val="20"/>
        </w:trPr>
        <w:tc>
          <w:tcPr>
            <w:tcW w:w="510" w:type="pct"/>
            <w:vMerge/>
            <w:tcBorders>
              <w:top w:val="single" w:sz="4" w:space="0" w:color="auto"/>
              <w:right w:val="single" w:sz="4" w:space="0" w:color="auto"/>
            </w:tcBorders>
          </w:tcPr>
          <w:p w14:paraId="0BFB842B"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single" w:sz="4" w:space="0" w:color="auto"/>
              <w:left w:val="single" w:sz="4" w:space="0" w:color="auto"/>
              <w:bottom w:val="nil"/>
              <w:right w:val="nil"/>
            </w:tcBorders>
          </w:tcPr>
          <w:p w14:paraId="4B0A0BFC"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tcPr>
          <w:p w14:paraId="5B7A9C62"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single" w:sz="4" w:space="0" w:color="auto"/>
              <w:left w:val="single" w:sz="4" w:space="0" w:color="auto"/>
              <w:bottom w:val="nil"/>
              <w:right w:val="nil"/>
            </w:tcBorders>
          </w:tcPr>
          <w:p w14:paraId="09CE53A4"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single" w:sz="4" w:space="0" w:color="auto"/>
              <w:left w:val="nil"/>
              <w:bottom w:val="nil"/>
              <w:right w:val="single" w:sz="4" w:space="0" w:color="auto"/>
            </w:tcBorders>
          </w:tcPr>
          <w:p w14:paraId="4B6B6D9B"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EEECE1" w:themeFill="background2"/>
          </w:tcPr>
          <w:p w14:paraId="7358A188"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Description of specific action(s) to improve </w:t>
            </w:r>
            <w:r>
              <w:rPr>
                <w:rFonts w:ascii="Arial Narrow" w:hAnsi="Arial Narrow" w:cs="Times New Roman"/>
                <w:sz w:val="20"/>
                <w:szCs w:val="20"/>
              </w:rPr>
              <w:t>unit operations that relate</w:t>
            </w:r>
            <w:r w:rsidRPr="00FB1297">
              <w:rPr>
                <w:rFonts w:ascii="Arial Narrow" w:hAnsi="Arial Narrow" w:cs="Times New Roman"/>
                <w:sz w:val="20"/>
                <w:szCs w:val="20"/>
              </w:rPr>
              <w:t xml:space="preserve"> directly to conclusions about areas for improvement.</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2A39D086" w14:textId="77777777" w:rsidR="003F2037" w:rsidRPr="00FB1297" w:rsidRDefault="003F2037" w:rsidP="005C584B">
            <w:pPr>
              <w:rPr>
                <w:rFonts w:ascii="Arial Narrow" w:hAnsi="Arial Narrow"/>
                <w:sz w:val="20"/>
                <w:szCs w:val="20"/>
              </w:rPr>
            </w:pPr>
            <w:r w:rsidRPr="00FB1297">
              <w:rPr>
                <w:rFonts w:ascii="Arial Narrow" w:hAnsi="Arial Narrow" w:cs="Times New Roman"/>
                <w:sz w:val="20"/>
                <w:szCs w:val="20"/>
              </w:rPr>
              <w:sym w:font="Wingdings" w:char="F06F"/>
            </w:r>
          </w:p>
        </w:tc>
        <w:tc>
          <w:tcPr>
            <w:tcW w:w="975" w:type="pct"/>
            <w:vMerge/>
            <w:tcBorders>
              <w:top w:val="single" w:sz="4" w:space="0" w:color="auto"/>
              <w:left w:val="single" w:sz="4" w:space="0" w:color="auto"/>
              <w:bottom w:val="nil"/>
              <w:right w:val="nil"/>
            </w:tcBorders>
          </w:tcPr>
          <w:p w14:paraId="070170BC" w14:textId="77777777" w:rsidR="003F2037" w:rsidRPr="00FB1297" w:rsidRDefault="003F2037" w:rsidP="005C584B">
            <w:pPr>
              <w:rPr>
                <w:rFonts w:ascii="Arial Narrow" w:hAnsi="Arial Narrow" w:cs="Times New Roman"/>
                <w:sz w:val="20"/>
                <w:szCs w:val="20"/>
              </w:rPr>
            </w:pPr>
          </w:p>
        </w:tc>
        <w:tc>
          <w:tcPr>
            <w:tcW w:w="140" w:type="pct"/>
            <w:vMerge/>
            <w:tcBorders>
              <w:top w:val="single" w:sz="4" w:space="0" w:color="auto"/>
              <w:left w:val="nil"/>
              <w:bottom w:val="nil"/>
              <w:right w:val="single" w:sz="4" w:space="0" w:color="auto"/>
            </w:tcBorders>
          </w:tcPr>
          <w:p w14:paraId="5D4E9DC8"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2C07F86B" w14:textId="77777777" w:rsidR="003F2037" w:rsidRPr="00FB1297" w:rsidRDefault="003F2037" w:rsidP="005C584B">
            <w:pPr>
              <w:rPr>
                <w:rFonts w:ascii="Arial Narrow" w:hAnsi="Arial Narrow" w:cs="Times New Roman"/>
                <w:sz w:val="20"/>
                <w:szCs w:val="20"/>
              </w:rPr>
            </w:pPr>
          </w:p>
        </w:tc>
      </w:tr>
      <w:tr w:rsidR="003F2037" w:rsidRPr="00FB1297" w14:paraId="1A928162" w14:textId="77777777" w:rsidTr="005C584B">
        <w:trPr>
          <w:trHeight w:val="20"/>
        </w:trPr>
        <w:tc>
          <w:tcPr>
            <w:tcW w:w="510" w:type="pct"/>
            <w:vMerge/>
            <w:tcBorders>
              <w:right w:val="single" w:sz="4" w:space="0" w:color="auto"/>
            </w:tcBorders>
          </w:tcPr>
          <w:p w14:paraId="39F95063"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nil"/>
              <w:right w:val="nil"/>
            </w:tcBorders>
          </w:tcPr>
          <w:p w14:paraId="2C8DAB5A"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nil"/>
              <w:right w:val="single" w:sz="4" w:space="0" w:color="auto"/>
            </w:tcBorders>
          </w:tcPr>
          <w:p w14:paraId="51F356D0"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nil"/>
              <w:right w:val="nil"/>
            </w:tcBorders>
          </w:tcPr>
          <w:p w14:paraId="7F564F76"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nil"/>
              <w:right w:val="single" w:sz="4" w:space="0" w:color="auto"/>
            </w:tcBorders>
          </w:tcPr>
          <w:p w14:paraId="2D336345"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EEECE1" w:themeFill="background2"/>
          </w:tcPr>
          <w:p w14:paraId="27741C38"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t xml:space="preserve">Description of specific action(s) to improve </w:t>
            </w:r>
            <w:r>
              <w:rPr>
                <w:rFonts w:ascii="Arial Narrow" w:hAnsi="Arial Narrow" w:cs="Times New Roman"/>
                <w:sz w:val="20"/>
                <w:szCs w:val="20"/>
              </w:rPr>
              <w:t>unit operations</w:t>
            </w:r>
            <w:r w:rsidRPr="00FB1297">
              <w:rPr>
                <w:rFonts w:ascii="Arial Narrow" w:hAnsi="Arial Narrow" w:cs="Times New Roman"/>
                <w:sz w:val="20"/>
                <w:szCs w:val="20"/>
              </w:rPr>
              <w:t xml:space="preserve"> includ</w:t>
            </w:r>
            <w:r>
              <w:rPr>
                <w:rFonts w:ascii="Arial Narrow" w:hAnsi="Arial Narrow" w:cs="Times New Roman"/>
                <w:sz w:val="20"/>
                <w:szCs w:val="20"/>
              </w:rPr>
              <w:t>ing</w:t>
            </w:r>
            <w:r w:rsidRPr="00FB1297">
              <w:rPr>
                <w:rFonts w:ascii="Arial Narrow" w:hAnsi="Arial Narrow" w:cs="Times New Roman"/>
                <w:sz w:val="20"/>
                <w:szCs w:val="20"/>
              </w:rPr>
              <w:t xml:space="preserve"> a timetable for implementation </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2C6B5521" w14:textId="77777777" w:rsidR="003F2037" w:rsidRPr="00FB1297" w:rsidRDefault="003F2037" w:rsidP="005C584B">
            <w:pPr>
              <w:rPr>
                <w:rFonts w:ascii="Arial Narrow" w:hAnsi="Arial Narrow"/>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nil"/>
              <w:right w:val="nil"/>
            </w:tcBorders>
          </w:tcPr>
          <w:p w14:paraId="2CADA317"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nil"/>
              <w:right w:val="single" w:sz="4" w:space="0" w:color="auto"/>
            </w:tcBorders>
          </w:tcPr>
          <w:p w14:paraId="1C566381"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3933FD8B" w14:textId="77777777" w:rsidR="003F2037" w:rsidRPr="00FB1297" w:rsidRDefault="003F2037" w:rsidP="005C584B">
            <w:pPr>
              <w:rPr>
                <w:rFonts w:ascii="Arial Narrow" w:hAnsi="Arial Narrow" w:cs="Times New Roman"/>
                <w:sz w:val="20"/>
                <w:szCs w:val="20"/>
              </w:rPr>
            </w:pPr>
          </w:p>
        </w:tc>
      </w:tr>
      <w:tr w:rsidR="003F2037" w:rsidRPr="00FB1297" w14:paraId="25A7734C" w14:textId="77777777" w:rsidTr="005C584B">
        <w:trPr>
          <w:trHeight w:val="20"/>
        </w:trPr>
        <w:tc>
          <w:tcPr>
            <w:tcW w:w="510" w:type="pct"/>
            <w:vMerge/>
            <w:tcBorders>
              <w:right w:val="single" w:sz="4" w:space="0" w:color="auto"/>
            </w:tcBorders>
          </w:tcPr>
          <w:p w14:paraId="017A55D0" w14:textId="77777777" w:rsidR="003F2037" w:rsidRPr="00974EBB" w:rsidRDefault="003F2037" w:rsidP="005C584B">
            <w:pPr>
              <w:autoSpaceDE w:val="0"/>
              <w:autoSpaceDN w:val="0"/>
              <w:adjustRightInd w:val="0"/>
              <w:ind w:right="35"/>
              <w:rPr>
                <w:rFonts w:ascii="Arial Narrow" w:hAnsi="Arial Narrow" w:cs="Times New Roman"/>
                <w:b/>
                <w:color w:val="000000"/>
                <w:sz w:val="20"/>
                <w:szCs w:val="20"/>
              </w:rPr>
            </w:pPr>
          </w:p>
        </w:tc>
        <w:tc>
          <w:tcPr>
            <w:tcW w:w="521" w:type="pct"/>
            <w:vMerge/>
            <w:tcBorders>
              <w:top w:val="nil"/>
              <w:left w:val="single" w:sz="4" w:space="0" w:color="auto"/>
              <w:bottom w:val="single" w:sz="4" w:space="0" w:color="auto"/>
              <w:right w:val="nil"/>
            </w:tcBorders>
          </w:tcPr>
          <w:p w14:paraId="4D3AAB6F"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tcPr>
          <w:p w14:paraId="5ECF94DE"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057" w:type="pct"/>
            <w:vMerge/>
            <w:tcBorders>
              <w:top w:val="nil"/>
              <w:left w:val="single" w:sz="4" w:space="0" w:color="auto"/>
              <w:bottom w:val="single" w:sz="4" w:space="0" w:color="auto"/>
              <w:right w:val="nil"/>
            </w:tcBorders>
          </w:tcPr>
          <w:p w14:paraId="5C8F0241" w14:textId="77777777" w:rsidR="003F2037" w:rsidRPr="00FB1297" w:rsidRDefault="003F2037" w:rsidP="005C584B">
            <w:pPr>
              <w:autoSpaceDE w:val="0"/>
              <w:autoSpaceDN w:val="0"/>
              <w:adjustRightInd w:val="0"/>
              <w:rPr>
                <w:rFonts w:ascii="Arial Narrow" w:hAnsi="Arial Narrow" w:cs="Times New Roman"/>
                <w:color w:val="000000"/>
                <w:sz w:val="20"/>
                <w:szCs w:val="20"/>
              </w:rPr>
            </w:pPr>
          </w:p>
        </w:tc>
        <w:tc>
          <w:tcPr>
            <w:tcW w:w="140" w:type="pct"/>
            <w:vMerge/>
            <w:tcBorders>
              <w:top w:val="nil"/>
              <w:left w:val="nil"/>
              <w:bottom w:val="single" w:sz="4" w:space="0" w:color="auto"/>
              <w:right w:val="single" w:sz="4" w:space="0" w:color="auto"/>
            </w:tcBorders>
          </w:tcPr>
          <w:p w14:paraId="7556703F" w14:textId="77777777" w:rsidR="003F2037" w:rsidRPr="00FB1297" w:rsidRDefault="003F2037" w:rsidP="005C584B">
            <w:pPr>
              <w:jc w:val="both"/>
              <w:rPr>
                <w:rFonts w:ascii="Arial Narrow" w:hAnsi="Arial Narrow" w:cs="Times New Roman"/>
                <w:sz w:val="20"/>
                <w:szCs w:val="20"/>
              </w:rPr>
            </w:pPr>
          </w:p>
        </w:tc>
        <w:tc>
          <w:tcPr>
            <w:tcW w:w="1100" w:type="pct"/>
            <w:tcBorders>
              <w:top w:val="single" w:sz="4" w:space="0" w:color="auto"/>
              <w:left w:val="single" w:sz="4" w:space="0" w:color="auto"/>
              <w:bottom w:val="single" w:sz="4" w:space="0" w:color="auto"/>
              <w:right w:val="nil"/>
            </w:tcBorders>
            <w:shd w:val="clear" w:color="auto" w:fill="EEECE1" w:themeFill="background2"/>
          </w:tcPr>
          <w:p w14:paraId="101D0BAA" w14:textId="77777777" w:rsidR="003F2037" w:rsidRPr="00FB1297" w:rsidRDefault="003F2037" w:rsidP="005C584B">
            <w:pPr>
              <w:rPr>
                <w:rFonts w:ascii="Arial Narrow" w:hAnsi="Arial Narrow" w:cs="Times New Roman"/>
                <w:sz w:val="20"/>
                <w:szCs w:val="20"/>
              </w:rPr>
            </w:pPr>
            <w:r>
              <w:rPr>
                <w:rFonts w:ascii="Arial Narrow" w:hAnsi="Arial Narrow" w:cs="Times New Roman"/>
                <w:sz w:val="20"/>
                <w:szCs w:val="20"/>
              </w:rPr>
              <w:t xml:space="preserve">Identification of individual </w:t>
            </w:r>
            <w:r w:rsidRPr="00FB1297">
              <w:rPr>
                <w:rFonts w:ascii="Arial Narrow" w:hAnsi="Arial Narrow" w:cs="Times New Roman"/>
                <w:sz w:val="20"/>
                <w:szCs w:val="20"/>
              </w:rPr>
              <w:t xml:space="preserve">responsible for </w:t>
            </w:r>
            <w:r>
              <w:rPr>
                <w:rFonts w:ascii="Arial Narrow" w:hAnsi="Arial Narrow" w:cs="Times New Roman"/>
                <w:sz w:val="20"/>
                <w:szCs w:val="20"/>
              </w:rPr>
              <w:t xml:space="preserve">each </w:t>
            </w:r>
            <w:r w:rsidRPr="00FB1297">
              <w:rPr>
                <w:rFonts w:ascii="Arial Narrow" w:hAnsi="Arial Narrow" w:cs="Times New Roman"/>
                <w:sz w:val="20"/>
                <w:szCs w:val="20"/>
              </w:rPr>
              <w:t>action</w:t>
            </w:r>
            <w:r>
              <w:rPr>
                <w:rFonts w:ascii="Arial Narrow" w:hAnsi="Arial Narrow" w:cs="Times New Roman"/>
                <w:sz w:val="20"/>
                <w:szCs w:val="20"/>
              </w:rPr>
              <w:t xml:space="preserve"> to improve unit operations</w:t>
            </w:r>
            <w:r w:rsidRPr="00FB1297">
              <w:rPr>
                <w:rFonts w:ascii="Arial Narrow" w:hAnsi="Arial Narrow" w:cs="Times New Roman"/>
                <w:sz w:val="20"/>
                <w:szCs w:val="20"/>
              </w:rPr>
              <w:t>.</w:t>
            </w:r>
          </w:p>
        </w:tc>
        <w:tc>
          <w:tcPr>
            <w:tcW w:w="140" w:type="pct"/>
            <w:tcBorders>
              <w:top w:val="single" w:sz="4" w:space="0" w:color="auto"/>
              <w:left w:val="nil"/>
              <w:bottom w:val="single" w:sz="4" w:space="0" w:color="auto"/>
              <w:right w:val="single" w:sz="4" w:space="0" w:color="auto"/>
            </w:tcBorders>
            <w:shd w:val="clear" w:color="auto" w:fill="EEECE1" w:themeFill="background2"/>
          </w:tcPr>
          <w:p w14:paraId="45552617" w14:textId="77777777" w:rsidR="003F2037" w:rsidRPr="00FB1297" w:rsidRDefault="003F2037" w:rsidP="005C584B">
            <w:pPr>
              <w:rPr>
                <w:rFonts w:ascii="Arial Narrow" w:hAnsi="Arial Narrow" w:cs="Times New Roman"/>
                <w:sz w:val="20"/>
                <w:szCs w:val="20"/>
              </w:rPr>
            </w:pPr>
            <w:r w:rsidRPr="00FB1297">
              <w:rPr>
                <w:rFonts w:ascii="Arial Narrow" w:hAnsi="Arial Narrow" w:cs="Times New Roman"/>
                <w:sz w:val="20"/>
                <w:szCs w:val="20"/>
              </w:rPr>
              <w:sym w:font="Wingdings" w:char="F06F"/>
            </w:r>
          </w:p>
        </w:tc>
        <w:tc>
          <w:tcPr>
            <w:tcW w:w="975" w:type="pct"/>
            <w:vMerge/>
            <w:tcBorders>
              <w:top w:val="nil"/>
              <w:left w:val="single" w:sz="4" w:space="0" w:color="auto"/>
              <w:bottom w:val="single" w:sz="4" w:space="0" w:color="auto"/>
              <w:right w:val="nil"/>
            </w:tcBorders>
          </w:tcPr>
          <w:p w14:paraId="6EA31612" w14:textId="77777777" w:rsidR="003F2037" w:rsidRPr="00FB1297" w:rsidRDefault="003F2037" w:rsidP="005C584B">
            <w:pPr>
              <w:rPr>
                <w:rFonts w:ascii="Arial Narrow" w:hAnsi="Arial Narrow" w:cs="Times New Roman"/>
                <w:sz w:val="20"/>
                <w:szCs w:val="20"/>
              </w:rPr>
            </w:pPr>
          </w:p>
        </w:tc>
        <w:tc>
          <w:tcPr>
            <w:tcW w:w="140" w:type="pct"/>
            <w:vMerge/>
            <w:tcBorders>
              <w:top w:val="nil"/>
              <w:left w:val="nil"/>
              <w:bottom w:val="single" w:sz="4" w:space="0" w:color="auto"/>
              <w:right w:val="single" w:sz="4" w:space="0" w:color="auto"/>
            </w:tcBorders>
          </w:tcPr>
          <w:p w14:paraId="0192A8F4" w14:textId="77777777" w:rsidR="003F2037" w:rsidRPr="00FB1297" w:rsidRDefault="003F2037" w:rsidP="005C584B">
            <w:pPr>
              <w:rPr>
                <w:rFonts w:ascii="Arial Narrow" w:hAnsi="Arial Narrow" w:cs="Times New Roman"/>
                <w:sz w:val="20"/>
                <w:szCs w:val="20"/>
              </w:rPr>
            </w:pPr>
          </w:p>
        </w:tc>
        <w:tc>
          <w:tcPr>
            <w:tcW w:w="275" w:type="pct"/>
            <w:vMerge/>
            <w:tcBorders>
              <w:left w:val="single" w:sz="4" w:space="0" w:color="auto"/>
            </w:tcBorders>
            <w:shd w:val="clear" w:color="auto" w:fill="EAF1DD" w:themeFill="accent3" w:themeFillTint="33"/>
          </w:tcPr>
          <w:p w14:paraId="72684838" w14:textId="77777777" w:rsidR="003F2037" w:rsidRPr="00FB1297" w:rsidRDefault="003F2037" w:rsidP="005C584B">
            <w:pPr>
              <w:rPr>
                <w:rFonts w:ascii="Arial Narrow" w:hAnsi="Arial Narrow" w:cs="Times New Roman"/>
                <w:sz w:val="20"/>
                <w:szCs w:val="20"/>
              </w:rPr>
            </w:pPr>
          </w:p>
        </w:tc>
      </w:tr>
    </w:tbl>
    <w:p w14:paraId="23FEFFA8" w14:textId="77777777" w:rsidR="003F2037" w:rsidRPr="00471700" w:rsidRDefault="003F2037" w:rsidP="003F2037">
      <w:pPr>
        <w:spacing w:after="0" w:line="240" w:lineRule="auto"/>
        <w:rPr>
          <w:rFonts w:ascii="Calibri" w:eastAsia="Times New Roman" w:hAnsi="Calibri" w:cs="Times New Roman"/>
          <w:color w:val="000000"/>
          <w:sz w:val="20"/>
          <w:szCs w:val="20"/>
        </w:rPr>
      </w:pPr>
      <w:r>
        <w:rPr>
          <w:rFonts w:ascii="Calibri" w:eastAsia="Calibri" w:hAnsi="Calibri" w:cs="Times New Roman"/>
          <w:color w:val="000000"/>
          <w:sz w:val="20"/>
          <w:szCs w:val="20"/>
        </w:rPr>
        <w:t>Comment: _________________________________________________________________________________________________________________ ____________________</w:t>
      </w:r>
    </w:p>
    <w:p w14:paraId="08A289BB" w14:textId="77777777" w:rsidR="003F2037" w:rsidRDefault="003F2037" w:rsidP="003F2037">
      <w:pPr>
        <w:spacing w:after="0" w:line="240" w:lineRule="auto"/>
        <w:rPr>
          <w:rFonts w:cs="Times New Roman"/>
          <w:sz w:val="20"/>
          <w:szCs w:val="20"/>
        </w:rPr>
      </w:pPr>
      <w:r>
        <w:rPr>
          <w:rFonts w:cs="Times New Roman"/>
          <w:sz w:val="20"/>
          <w:szCs w:val="20"/>
        </w:rPr>
        <w:t>__________________________________________________________________________________________________________________________ ____________________ _________________________________________________________________________________________________________________________ _____________________</w:t>
      </w:r>
    </w:p>
    <w:p w14:paraId="5E8A792A" w14:textId="77777777" w:rsidR="003F2037" w:rsidRDefault="003F2037" w:rsidP="003F2037">
      <w:pPr>
        <w:spacing w:after="0" w:line="240" w:lineRule="auto"/>
        <w:rPr>
          <w:rFonts w:cs="Times New Roman"/>
          <w:sz w:val="20"/>
          <w:szCs w:val="20"/>
        </w:rPr>
      </w:pPr>
    </w:p>
    <w:p w14:paraId="01571CE0" w14:textId="77777777" w:rsidR="003F2037" w:rsidRDefault="003F2037" w:rsidP="003F2037">
      <w:pPr>
        <w:spacing w:after="0" w:line="240" w:lineRule="auto"/>
        <w:rPr>
          <w:rFonts w:cs="Times New Roman"/>
          <w:sz w:val="20"/>
          <w:szCs w:val="20"/>
        </w:rPr>
      </w:pPr>
      <w:r>
        <w:rPr>
          <w:rFonts w:cs="Times New Roman"/>
          <w:sz w:val="20"/>
          <w:szCs w:val="20"/>
        </w:rPr>
        <w:t xml:space="preserve">The peer review process uses a descriptive rubric with four levels to scale specific criteria in the assessment process.   The scale includes “Beginning,” “Meets Expectations,” “Best Practices,”, and “Not Able to Rate.”   The scale values are listed horizontally on the form. Raters evaluate five criteria of the assessment activity: “Unit Objectives,” “Assessment Measures,” “Assessment Results,”  “Analysis by Unit,” and “Actions to Improve Unit Operations.”   The criteria are listed vertically in the left hand column. Descriptors for minimal acceptable rating in each level are included next to criteria.   </w:t>
      </w:r>
    </w:p>
    <w:p w14:paraId="05FB5DF9" w14:textId="77777777" w:rsidR="003F2037" w:rsidRDefault="003F2037" w:rsidP="003F2037">
      <w:pPr>
        <w:spacing w:after="0" w:line="240" w:lineRule="auto"/>
        <w:rPr>
          <w:rFonts w:cs="Times New Roman"/>
          <w:sz w:val="20"/>
          <w:szCs w:val="20"/>
        </w:rPr>
      </w:pPr>
    </w:p>
    <w:p w14:paraId="1750CD76" w14:textId="77777777" w:rsidR="003F2037" w:rsidRDefault="003F2037" w:rsidP="003F2037">
      <w:pPr>
        <w:spacing w:after="0" w:line="240" w:lineRule="auto"/>
        <w:rPr>
          <w:rFonts w:cs="Times New Roman"/>
          <w:sz w:val="20"/>
          <w:szCs w:val="20"/>
        </w:rPr>
      </w:pPr>
    </w:p>
    <w:p w14:paraId="11E6E917" w14:textId="77777777" w:rsidR="003F2037" w:rsidRDefault="003F2037" w:rsidP="003F2037">
      <w:pPr>
        <w:spacing w:after="0" w:line="240" w:lineRule="auto"/>
        <w:rPr>
          <w:rFonts w:cs="Times New Roman"/>
          <w:sz w:val="20"/>
          <w:szCs w:val="20"/>
        </w:rPr>
      </w:pPr>
      <w:r>
        <w:rPr>
          <w:rFonts w:cs="Times New Roman"/>
          <w:sz w:val="20"/>
          <w:szCs w:val="20"/>
        </w:rPr>
        <w:t xml:space="preserve">Use the feedback form as a matrix, working from left to right.    Check the descriptors to identify what has been satisfied.  The last column on the right “Overall Rating” serves to provide the overall rating for the criteria making sure that all descriptors in the prior level have been achieved.   </w:t>
      </w:r>
      <w:r w:rsidRPr="00DB2842">
        <w:rPr>
          <w:rFonts w:cs="Times New Roman"/>
          <w:b/>
          <w:color w:val="7030A0"/>
          <w:sz w:val="20"/>
          <w:szCs w:val="20"/>
          <w:u w:val="single"/>
        </w:rPr>
        <w:t xml:space="preserve">To </w:t>
      </w:r>
      <w:r>
        <w:rPr>
          <w:rFonts w:cs="Times New Roman"/>
          <w:b/>
          <w:color w:val="7030A0"/>
          <w:sz w:val="20"/>
          <w:szCs w:val="20"/>
          <w:u w:val="single"/>
        </w:rPr>
        <w:t>achieve a</w:t>
      </w:r>
      <w:r w:rsidRPr="00DB2842">
        <w:rPr>
          <w:rFonts w:cs="Times New Roman"/>
          <w:b/>
          <w:color w:val="7030A0"/>
          <w:sz w:val="20"/>
          <w:szCs w:val="20"/>
          <w:u w:val="single"/>
        </w:rPr>
        <w:t xml:space="preserve"> rating value, all the descriptors listed under each rating value </w:t>
      </w:r>
      <w:r>
        <w:rPr>
          <w:rFonts w:cs="Times New Roman"/>
          <w:b/>
          <w:color w:val="7030A0"/>
          <w:sz w:val="20"/>
          <w:szCs w:val="20"/>
          <w:u w:val="single"/>
        </w:rPr>
        <w:t xml:space="preserve">must </w:t>
      </w:r>
      <w:r w:rsidRPr="00DB2842">
        <w:rPr>
          <w:rFonts w:cs="Times New Roman"/>
          <w:b/>
          <w:color w:val="7030A0"/>
          <w:sz w:val="20"/>
          <w:szCs w:val="20"/>
          <w:u w:val="single"/>
        </w:rPr>
        <w:t>be satisfied. I</w:t>
      </w:r>
      <w:r>
        <w:rPr>
          <w:rFonts w:cs="Times New Roman"/>
          <w:b/>
          <w:color w:val="7030A0"/>
          <w:sz w:val="20"/>
          <w:szCs w:val="20"/>
          <w:u w:val="single"/>
        </w:rPr>
        <w:t xml:space="preserve">f some, but not all of the </w:t>
      </w:r>
      <w:r w:rsidRPr="00DB2842">
        <w:rPr>
          <w:rFonts w:cs="Times New Roman"/>
          <w:b/>
          <w:color w:val="7030A0"/>
          <w:sz w:val="20"/>
          <w:szCs w:val="20"/>
          <w:u w:val="single"/>
        </w:rPr>
        <w:t xml:space="preserve">descriptors are satisfied, then the overall rating for that </w:t>
      </w:r>
      <w:r>
        <w:rPr>
          <w:rFonts w:cs="Times New Roman"/>
          <w:b/>
          <w:color w:val="7030A0"/>
          <w:sz w:val="20"/>
          <w:szCs w:val="20"/>
          <w:u w:val="single"/>
        </w:rPr>
        <w:t xml:space="preserve">criteria should </w:t>
      </w:r>
      <w:r w:rsidRPr="00DB2842">
        <w:rPr>
          <w:rFonts w:cs="Times New Roman"/>
          <w:b/>
          <w:color w:val="7030A0"/>
          <w:sz w:val="20"/>
          <w:szCs w:val="20"/>
          <w:u w:val="single"/>
        </w:rPr>
        <w:t>be the prior value.</w:t>
      </w:r>
    </w:p>
    <w:p w14:paraId="6288DAEC" w14:textId="77777777" w:rsidR="003F2037" w:rsidRDefault="003F2037" w:rsidP="003F2037">
      <w:pPr>
        <w:spacing w:after="0" w:line="240" w:lineRule="auto"/>
        <w:rPr>
          <w:rFonts w:cs="Times New Roman"/>
          <w:sz w:val="20"/>
          <w:szCs w:val="20"/>
        </w:rPr>
      </w:pPr>
    </w:p>
    <w:p w14:paraId="37436B47" w14:textId="77777777" w:rsidR="003F2037" w:rsidRDefault="003F2037" w:rsidP="003F2037">
      <w:pPr>
        <w:spacing w:after="0" w:line="240" w:lineRule="auto"/>
        <w:rPr>
          <w:rFonts w:cs="Times New Roman"/>
          <w:sz w:val="20"/>
          <w:szCs w:val="20"/>
        </w:rPr>
      </w:pPr>
      <w:r>
        <w:rPr>
          <w:rFonts w:cs="Times New Roman"/>
          <w:sz w:val="20"/>
          <w:szCs w:val="20"/>
        </w:rPr>
        <w:lastRenderedPageBreak/>
        <w:t xml:space="preserve">The comment section should be used if the descriptors are not sufficient to justify the rating values or if the reviewers would like to make a suggestion for improvement that needs to be recorded. </w:t>
      </w:r>
    </w:p>
    <w:p w14:paraId="30776327" w14:textId="77777777" w:rsidR="003F2037" w:rsidRDefault="003F2037" w:rsidP="003F2037">
      <w:pPr>
        <w:spacing w:after="0" w:line="240" w:lineRule="auto"/>
        <w:rPr>
          <w:rFonts w:cs="Times New Roman"/>
          <w:sz w:val="20"/>
          <w:szCs w:val="20"/>
        </w:rPr>
      </w:pPr>
    </w:p>
    <w:p w14:paraId="2D9386B7" w14:textId="24A62414" w:rsidR="00B61D54" w:rsidRDefault="00B61D54">
      <w:pPr>
        <w:rPr>
          <w:b/>
        </w:rPr>
      </w:pPr>
      <w:r>
        <w:rPr>
          <w:b/>
        </w:rPr>
        <w:br w:type="page"/>
      </w:r>
    </w:p>
    <w:p w14:paraId="0FA3E8DC" w14:textId="77777777" w:rsidR="00B61D54" w:rsidRDefault="00B61D54">
      <w:pPr>
        <w:rPr>
          <w:b/>
        </w:rPr>
        <w:sectPr w:rsidR="00B61D54" w:rsidSect="000B710E">
          <w:pgSz w:w="12240" w:h="15840"/>
          <w:pgMar w:top="1440" w:right="1440" w:bottom="1440" w:left="1440" w:header="720" w:footer="720" w:gutter="0"/>
          <w:cols w:space="720"/>
          <w:docGrid w:linePitch="360"/>
        </w:sectPr>
      </w:pPr>
    </w:p>
    <w:p w14:paraId="1E28F340" w14:textId="77777777" w:rsidR="00B61D54" w:rsidRDefault="00B61D54">
      <w:pPr>
        <w:rPr>
          <w:b/>
        </w:rPr>
      </w:pPr>
    </w:p>
    <w:p w14:paraId="2408A1FD" w14:textId="77777777" w:rsidR="00953978" w:rsidRPr="00953978" w:rsidRDefault="00A6355C" w:rsidP="00953978">
      <w:pPr>
        <w:jc w:val="center"/>
        <w:rPr>
          <w:b/>
        </w:rPr>
      </w:pPr>
      <w:r>
        <w:rPr>
          <w:b/>
        </w:rPr>
        <w:t>Glossary</w:t>
      </w:r>
    </w:p>
    <w:p w14:paraId="7A3B222D" w14:textId="77777777" w:rsidR="00D21FBF" w:rsidRDefault="00D21FBF" w:rsidP="00D21FBF">
      <w:r>
        <w:t>Assessment Cycle:  The timeframe associated with achieving the expected outcomes.  The cycle for the current process is five-years.</w:t>
      </w:r>
    </w:p>
    <w:p w14:paraId="499B0C30" w14:textId="77777777" w:rsidR="00A6355C" w:rsidRDefault="00A6355C" w:rsidP="00D21FBF">
      <w:r>
        <w:t>Assessment Year:  Data collection period (April 1-March 31)</w:t>
      </w:r>
    </w:p>
    <w:p w14:paraId="5C2F6062" w14:textId="77777777" w:rsidR="00D21FBF" w:rsidRDefault="00D21FBF">
      <w:r>
        <w:t xml:space="preserve">Assessment Template: Report format in Compliance Assist that summarizes the elements of assessment associated with the </w:t>
      </w:r>
      <w:r w:rsidR="00164EBB">
        <w:t>u</w:t>
      </w:r>
      <w:r>
        <w:t>nit.</w:t>
      </w:r>
    </w:p>
    <w:p w14:paraId="20916C5D" w14:textId="77777777" w:rsidR="00D21FBF" w:rsidRDefault="00D21FBF">
      <w:r>
        <w:t xml:space="preserve">Compliance Assist:  Electronic reporting tool for assessment purposes.   Access is password protected.  The link is located </w:t>
      </w:r>
      <w:r w:rsidR="004F3F92">
        <w:t xml:space="preserve">on the Office of Assessment website </w:t>
      </w:r>
      <w:r>
        <w:t>at:</w:t>
      </w:r>
      <w:r w:rsidR="004F3F92">
        <w:t xml:space="preserve"> </w:t>
      </w:r>
      <w:hyperlink r:id="rId15" w:history="1">
        <w:r w:rsidR="004F3F92" w:rsidRPr="00AD78D0">
          <w:rPr>
            <w:rStyle w:val="Hyperlink"/>
          </w:rPr>
          <w:t>http://www.towson.edu/assessment/index.asp</w:t>
        </w:r>
      </w:hyperlink>
      <w:r w:rsidR="004F3F92">
        <w:t xml:space="preserve"> User should link on “TU Compliance-Assist” under “Announcements.”</w:t>
      </w:r>
      <w:r>
        <w:t xml:space="preserve"> </w:t>
      </w:r>
      <w:r w:rsidR="004F3F92">
        <w:t xml:space="preserve"> The username and password are your TU credentials.</w:t>
      </w:r>
    </w:p>
    <w:p w14:paraId="05F700AF" w14:textId="77777777" w:rsidR="006378D2" w:rsidRPr="000B06B3" w:rsidRDefault="009C5982">
      <w:r w:rsidRPr="000B06B3">
        <w:t xml:space="preserve">Goals: </w:t>
      </w:r>
      <w:r w:rsidR="00164EBB">
        <w:t xml:space="preserve">Key functions of the </w:t>
      </w:r>
      <w:r w:rsidRPr="000B06B3">
        <w:t>administrative unit align</w:t>
      </w:r>
      <w:r w:rsidR="00164EBB">
        <w:t>ed</w:t>
      </w:r>
      <w:r w:rsidRPr="000B06B3">
        <w:t xml:space="preserve"> with the </w:t>
      </w:r>
      <w:r w:rsidR="00164EBB">
        <w:t xml:space="preserve">expectations </w:t>
      </w:r>
      <w:r w:rsidRPr="000B06B3">
        <w:t>of the institution/division</w:t>
      </w:r>
      <w:r w:rsidR="00164EBB">
        <w:t>.</w:t>
      </w:r>
    </w:p>
    <w:p w14:paraId="6FE1E554" w14:textId="77777777" w:rsidR="00D21FBF" w:rsidRDefault="00D21FBF" w:rsidP="00D21FBF">
      <w:r w:rsidRPr="000B06B3">
        <w:t xml:space="preserve">Measures:  Measures are the approaches used to conduct the assessment of the unit in achieving each objective.  </w:t>
      </w:r>
      <w:r>
        <w:t>Collection and analysis of assessment data must occur annually.   However, not all measures need to be collected each year.</w:t>
      </w:r>
      <w:r w:rsidRPr="000B06B3">
        <w:t xml:space="preserve">   The collection timetable should be identified for each measure.</w:t>
      </w:r>
    </w:p>
    <w:p w14:paraId="4827CAB7" w14:textId="77777777" w:rsidR="009C5982" w:rsidRDefault="009C5982">
      <w:r w:rsidRPr="000B06B3">
        <w:t>Objectives</w:t>
      </w:r>
      <w:r w:rsidR="00953978">
        <w:t>/</w:t>
      </w:r>
      <w:r w:rsidRPr="000B06B3">
        <w:t>outcomes</w:t>
      </w:r>
      <w:r w:rsidR="00164EBB">
        <w:t>: S</w:t>
      </w:r>
      <w:r w:rsidRPr="000B06B3">
        <w:t xml:space="preserve">pecific statements that reflect the broader goals.  Objectives for an administrative unit focus more on process and student development, than student learning.  They focus on what </w:t>
      </w:r>
      <w:r w:rsidR="00AA121D" w:rsidRPr="000B06B3">
        <w:t>the user of the unit should be able to know and do as a result of the services offered by the unit.  Th</w:t>
      </w:r>
      <w:r w:rsidR="00164EBB">
        <w:t>ese</w:t>
      </w:r>
      <w:r w:rsidR="00AA121D" w:rsidRPr="000B06B3">
        <w:t xml:space="preserve"> may include students and other key stakeholders</w:t>
      </w:r>
      <w:r w:rsidRPr="000B06B3">
        <w:t xml:space="preserve"> (faculty, alumni, parents, emplo</w:t>
      </w:r>
      <w:r w:rsidR="00AA121D" w:rsidRPr="000B06B3">
        <w:t>yers, etc. depending on the unit</w:t>
      </w:r>
      <w:r w:rsidRPr="000B06B3">
        <w:t>).   Objectives also include performance criteria – what standards are expected from services provided by the unit.</w:t>
      </w:r>
      <w:r w:rsidR="00164EBB">
        <w:t xml:space="preserve">  These provide the basis of the assessment</w:t>
      </w:r>
      <w:r w:rsidR="0043214C">
        <w:t>.</w:t>
      </w:r>
    </w:p>
    <w:p w14:paraId="3998AA6B" w14:textId="77777777" w:rsidR="0043214C" w:rsidRDefault="0043214C">
      <w:r w:rsidRPr="006E40E4">
        <w:t>Unit:   The organizational level identified for assessment purposes.   Towson University has identified those organization</w:t>
      </w:r>
      <w:r w:rsidR="006E40E4" w:rsidRPr="006E40E4">
        <w:t xml:space="preserve">al </w:t>
      </w:r>
      <w:r w:rsidRPr="006E40E4">
        <w:t>structures reporting to the division heads for the purposes of assessment reporting.   Division heads may choose to subdivide the organization</w:t>
      </w:r>
      <w:r w:rsidR="006E40E4" w:rsidRPr="006E40E4">
        <w:t>al</w:t>
      </w:r>
      <w:r w:rsidRPr="006E40E4">
        <w:t xml:space="preserve"> tree below that level if they so desire, but baseline </w:t>
      </w:r>
      <w:r w:rsidR="006E40E4" w:rsidRPr="006E40E4">
        <w:t xml:space="preserve">unit level </w:t>
      </w:r>
      <w:r w:rsidRPr="006E40E4">
        <w:t>information must be collected for all units reporting to the Vice Presidents of each division.</w:t>
      </w:r>
      <w:r>
        <w:t xml:space="preserve">  </w:t>
      </w:r>
    </w:p>
    <w:p w14:paraId="30CE9FD7" w14:textId="77777777" w:rsidR="0043214C" w:rsidRDefault="0043214C"/>
    <w:sectPr w:rsidR="0043214C" w:rsidSect="00280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0ABD" w14:textId="77777777" w:rsidR="00165D0C" w:rsidRDefault="00165D0C" w:rsidP="00165D0C">
      <w:pPr>
        <w:spacing w:after="0" w:line="240" w:lineRule="auto"/>
      </w:pPr>
      <w:r>
        <w:separator/>
      </w:r>
    </w:p>
  </w:endnote>
  <w:endnote w:type="continuationSeparator" w:id="0">
    <w:p w14:paraId="538F6A0D" w14:textId="77777777" w:rsidR="00165D0C" w:rsidRDefault="00165D0C" w:rsidP="001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4AEB" w14:textId="57B1C3D3" w:rsidR="00165D0C" w:rsidRDefault="00BA0927">
    <w:pPr>
      <w:pStyle w:val="Footer"/>
    </w:pPr>
    <w:r>
      <w:fldChar w:fldCharType="begin"/>
    </w:r>
    <w:r>
      <w:instrText xml:space="preserve"> PAGE  \* MERGEFORMAT </w:instrText>
    </w:r>
    <w:r>
      <w:fldChar w:fldCharType="separate"/>
    </w:r>
    <w:r w:rsidR="004770AF">
      <w:rPr>
        <w:noProof/>
      </w:rPr>
      <w:t>2</w:t>
    </w:r>
    <w:r>
      <w:fldChar w:fldCharType="end"/>
    </w:r>
    <w:r w:rsidR="00165D0C">
      <w:t>Provost-Assessment/IE/Unit Reporting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F7B67" w14:textId="77777777" w:rsidR="00165D0C" w:rsidRDefault="00165D0C" w:rsidP="00165D0C">
      <w:pPr>
        <w:spacing w:after="0" w:line="240" w:lineRule="auto"/>
      </w:pPr>
      <w:r>
        <w:separator/>
      </w:r>
    </w:p>
  </w:footnote>
  <w:footnote w:type="continuationSeparator" w:id="0">
    <w:p w14:paraId="58CCD66E" w14:textId="77777777" w:rsidR="00165D0C" w:rsidRDefault="00165D0C" w:rsidP="00165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48A4"/>
    <w:multiLevelType w:val="hybridMultilevel"/>
    <w:tmpl w:val="1390F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05B2B"/>
    <w:multiLevelType w:val="hybridMultilevel"/>
    <w:tmpl w:val="2D7072D2"/>
    <w:lvl w:ilvl="0" w:tplc="7A8E06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E3FC9"/>
    <w:multiLevelType w:val="hybridMultilevel"/>
    <w:tmpl w:val="7F044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862DD"/>
    <w:multiLevelType w:val="hybridMultilevel"/>
    <w:tmpl w:val="6DDE6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1D"/>
    <w:rsid w:val="00010CC1"/>
    <w:rsid w:val="00015C36"/>
    <w:rsid w:val="00047E24"/>
    <w:rsid w:val="000B06B3"/>
    <w:rsid w:val="000B3C9B"/>
    <w:rsid w:val="000B710E"/>
    <w:rsid w:val="00131328"/>
    <w:rsid w:val="00164EBB"/>
    <w:rsid w:val="00165D0C"/>
    <w:rsid w:val="0017637F"/>
    <w:rsid w:val="00183B38"/>
    <w:rsid w:val="001B0B15"/>
    <w:rsid w:val="001E526C"/>
    <w:rsid w:val="001E74C8"/>
    <w:rsid w:val="00250DD4"/>
    <w:rsid w:val="002721AD"/>
    <w:rsid w:val="0028097E"/>
    <w:rsid w:val="0030532A"/>
    <w:rsid w:val="00322A47"/>
    <w:rsid w:val="00394412"/>
    <w:rsid w:val="003E450E"/>
    <w:rsid w:val="003F2037"/>
    <w:rsid w:val="0043214C"/>
    <w:rsid w:val="004770AF"/>
    <w:rsid w:val="004A3991"/>
    <w:rsid w:val="004A4B7D"/>
    <w:rsid w:val="004E1328"/>
    <w:rsid w:val="004F3F92"/>
    <w:rsid w:val="00520BA8"/>
    <w:rsid w:val="005721DB"/>
    <w:rsid w:val="00573FF6"/>
    <w:rsid w:val="0059215B"/>
    <w:rsid w:val="005A7621"/>
    <w:rsid w:val="005C584B"/>
    <w:rsid w:val="005E7E54"/>
    <w:rsid w:val="006153C5"/>
    <w:rsid w:val="00622721"/>
    <w:rsid w:val="006378D2"/>
    <w:rsid w:val="006B0BF5"/>
    <w:rsid w:val="006B3C6A"/>
    <w:rsid w:val="006C1306"/>
    <w:rsid w:val="006C14F5"/>
    <w:rsid w:val="006D4A87"/>
    <w:rsid w:val="006E40E4"/>
    <w:rsid w:val="006F499D"/>
    <w:rsid w:val="0074536D"/>
    <w:rsid w:val="007E1E3B"/>
    <w:rsid w:val="00846677"/>
    <w:rsid w:val="008B480D"/>
    <w:rsid w:val="008D4F87"/>
    <w:rsid w:val="00931949"/>
    <w:rsid w:val="0095188A"/>
    <w:rsid w:val="00953978"/>
    <w:rsid w:val="00963BFD"/>
    <w:rsid w:val="00984499"/>
    <w:rsid w:val="009C5982"/>
    <w:rsid w:val="009D40DE"/>
    <w:rsid w:val="00A14973"/>
    <w:rsid w:val="00A33FF1"/>
    <w:rsid w:val="00A6355C"/>
    <w:rsid w:val="00AA121D"/>
    <w:rsid w:val="00AE7B2A"/>
    <w:rsid w:val="00B14B50"/>
    <w:rsid w:val="00B61D54"/>
    <w:rsid w:val="00BA0927"/>
    <w:rsid w:val="00BD621D"/>
    <w:rsid w:val="00BF6BB7"/>
    <w:rsid w:val="00C60DDF"/>
    <w:rsid w:val="00CE65E8"/>
    <w:rsid w:val="00D14F29"/>
    <w:rsid w:val="00D21FBF"/>
    <w:rsid w:val="00D76B9A"/>
    <w:rsid w:val="00D779C0"/>
    <w:rsid w:val="00D87C0D"/>
    <w:rsid w:val="00DD5452"/>
    <w:rsid w:val="00DF2951"/>
    <w:rsid w:val="00E24845"/>
    <w:rsid w:val="00E62569"/>
    <w:rsid w:val="00EA44EA"/>
    <w:rsid w:val="00ED565D"/>
    <w:rsid w:val="00EE2B67"/>
    <w:rsid w:val="00F10386"/>
    <w:rsid w:val="00F57519"/>
    <w:rsid w:val="00F67CC0"/>
    <w:rsid w:val="00F872CE"/>
    <w:rsid w:val="00F9191D"/>
    <w:rsid w:val="00FB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0334548"/>
  <w15:docId w15:val="{CCEB5C37-0E95-430E-84EA-CDB03FE1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0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1D"/>
    <w:pPr>
      <w:ind w:left="720"/>
      <w:contextualSpacing/>
    </w:pPr>
  </w:style>
  <w:style w:type="character" w:styleId="Hyperlink">
    <w:name w:val="Hyperlink"/>
    <w:basedOn w:val="DefaultParagraphFont"/>
    <w:uiPriority w:val="99"/>
    <w:unhideWhenUsed/>
    <w:rsid w:val="006C14F5"/>
    <w:rPr>
      <w:color w:val="0000FF" w:themeColor="hyperlink"/>
      <w:u w:val="single"/>
    </w:rPr>
  </w:style>
  <w:style w:type="paragraph" w:styleId="BalloonText">
    <w:name w:val="Balloon Text"/>
    <w:basedOn w:val="Normal"/>
    <w:link w:val="BalloonTextChar"/>
    <w:uiPriority w:val="99"/>
    <w:semiHidden/>
    <w:unhideWhenUsed/>
    <w:rsid w:val="00EE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B67"/>
    <w:rPr>
      <w:rFonts w:ascii="Tahoma" w:hAnsi="Tahoma" w:cs="Tahoma"/>
      <w:sz w:val="16"/>
      <w:szCs w:val="16"/>
    </w:rPr>
  </w:style>
  <w:style w:type="paragraph" w:styleId="Header">
    <w:name w:val="header"/>
    <w:basedOn w:val="Normal"/>
    <w:link w:val="HeaderChar"/>
    <w:uiPriority w:val="99"/>
    <w:unhideWhenUsed/>
    <w:rsid w:val="0016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0C"/>
  </w:style>
  <w:style w:type="paragraph" w:styleId="Footer">
    <w:name w:val="footer"/>
    <w:basedOn w:val="Normal"/>
    <w:link w:val="FooterChar"/>
    <w:uiPriority w:val="99"/>
    <w:unhideWhenUsed/>
    <w:rsid w:val="0016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03">
      <w:bodyDiv w:val="1"/>
      <w:marLeft w:val="0"/>
      <w:marRight w:val="0"/>
      <w:marTop w:val="0"/>
      <w:marBottom w:val="0"/>
      <w:divBdr>
        <w:top w:val="none" w:sz="0" w:space="0" w:color="auto"/>
        <w:left w:val="none" w:sz="0" w:space="0" w:color="auto"/>
        <w:bottom w:val="none" w:sz="0" w:space="0" w:color="auto"/>
        <w:right w:val="none" w:sz="0" w:space="0" w:color="auto"/>
      </w:divBdr>
    </w:div>
    <w:div w:id="1448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towson.edu/assessment/index.as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6800-E11F-403D-B691-978ECE77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dc:creator>
  <cp:keywords/>
  <dc:description/>
  <cp:lastModifiedBy>Greene, Anne</cp:lastModifiedBy>
  <cp:revision>4</cp:revision>
  <cp:lastPrinted>2015-09-16T20:04:00Z</cp:lastPrinted>
  <dcterms:created xsi:type="dcterms:W3CDTF">2015-06-11T14:21:00Z</dcterms:created>
  <dcterms:modified xsi:type="dcterms:W3CDTF">2015-09-16T20:05:00Z</dcterms:modified>
</cp:coreProperties>
</file>