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5F4DF" w14:textId="26453CC8" w:rsidR="002F74FB" w:rsidRDefault="002F74FB" w:rsidP="00BF55A7">
      <w:pPr>
        <w:jc w:val="center"/>
      </w:pPr>
      <w:r>
        <w:t xml:space="preserve">Faculty Annual </w:t>
      </w:r>
      <w:proofErr w:type="gramStart"/>
      <w:r>
        <w:t>Report</w:t>
      </w:r>
      <w:proofErr w:type="gramEnd"/>
      <w:r w:rsidR="00BF55A7">
        <w:br/>
        <w:t>(Faculty Matrix)</w:t>
      </w:r>
      <w:bookmarkStart w:id="0" w:name="_GoBack"/>
      <w:bookmarkEnd w:id="0"/>
      <w:r>
        <w:br/>
        <w:t>AACSB Measures Synopsis</w:t>
      </w:r>
    </w:p>
    <w:p w14:paraId="1895F4E0" w14:textId="77777777" w:rsidR="002F74FB" w:rsidRDefault="002F74FB">
      <w:r>
        <w:t>Faculty Member</w:t>
      </w:r>
      <w:proofErr w:type="gramStart"/>
      <w:r>
        <w:t>:</w:t>
      </w:r>
      <w:proofErr w:type="gramEnd"/>
      <w:r>
        <w:br/>
        <w:t xml:space="preserve">Department: </w:t>
      </w:r>
      <w:r>
        <w:br/>
        <w:t>Date:</w:t>
      </w:r>
    </w:p>
    <w:tbl>
      <w:tblPr>
        <w:tblStyle w:val="TableGrid"/>
        <w:tblW w:w="0" w:type="auto"/>
        <w:tblLook w:val="04A0" w:firstRow="1" w:lastRow="0" w:firstColumn="1" w:lastColumn="0" w:noHBand="0" w:noVBand="1"/>
      </w:tblPr>
      <w:tblGrid>
        <w:gridCol w:w="1795"/>
        <w:gridCol w:w="2520"/>
        <w:gridCol w:w="2520"/>
        <w:gridCol w:w="2515"/>
      </w:tblGrid>
      <w:tr w:rsidR="00BF55A7" w14:paraId="1895F4E5" w14:textId="77777777" w:rsidTr="00BF55A7">
        <w:tc>
          <w:tcPr>
            <w:tcW w:w="1795" w:type="dxa"/>
          </w:tcPr>
          <w:p w14:paraId="1895F4E1" w14:textId="77777777" w:rsidR="002F74FB" w:rsidRDefault="002F74FB"/>
        </w:tc>
        <w:tc>
          <w:tcPr>
            <w:tcW w:w="2520" w:type="dxa"/>
          </w:tcPr>
          <w:p w14:paraId="1895F4E2" w14:textId="45522B2F" w:rsidR="002F74FB" w:rsidRDefault="00BF55A7">
            <w:r>
              <w:t>Engagement / Connect</w:t>
            </w:r>
          </w:p>
        </w:tc>
        <w:tc>
          <w:tcPr>
            <w:tcW w:w="2520" w:type="dxa"/>
          </w:tcPr>
          <w:p w14:paraId="1895F4E3" w14:textId="2FFCC618" w:rsidR="002F74FB" w:rsidRDefault="00BF55A7">
            <w:r>
              <w:t>Innovation / Develop</w:t>
            </w:r>
          </w:p>
        </w:tc>
        <w:tc>
          <w:tcPr>
            <w:tcW w:w="2515" w:type="dxa"/>
          </w:tcPr>
          <w:p w14:paraId="1895F4E4" w14:textId="2AC62ACD" w:rsidR="002F74FB" w:rsidRDefault="00BF55A7">
            <w:r>
              <w:t>Impact / Transformation</w:t>
            </w:r>
          </w:p>
        </w:tc>
      </w:tr>
      <w:tr w:rsidR="00BF55A7" w14:paraId="1895F4EA" w14:textId="77777777" w:rsidTr="00BF55A7">
        <w:tc>
          <w:tcPr>
            <w:tcW w:w="1795" w:type="dxa"/>
          </w:tcPr>
          <w:p w14:paraId="1895F4E6" w14:textId="77777777" w:rsidR="002F74FB" w:rsidRDefault="002F74FB">
            <w:r>
              <w:t>Teaching</w:t>
            </w:r>
          </w:p>
        </w:tc>
        <w:tc>
          <w:tcPr>
            <w:tcW w:w="2520" w:type="dxa"/>
          </w:tcPr>
          <w:p w14:paraId="1895F4E7" w14:textId="77777777" w:rsidR="002F74FB" w:rsidRDefault="002F74FB"/>
        </w:tc>
        <w:tc>
          <w:tcPr>
            <w:tcW w:w="2520" w:type="dxa"/>
          </w:tcPr>
          <w:p w14:paraId="1895F4E8" w14:textId="77777777" w:rsidR="002F74FB" w:rsidRDefault="002F74FB"/>
        </w:tc>
        <w:tc>
          <w:tcPr>
            <w:tcW w:w="2515" w:type="dxa"/>
          </w:tcPr>
          <w:p w14:paraId="1895F4E9" w14:textId="77777777" w:rsidR="002F74FB" w:rsidRDefault="002F74FB"/>
        </w:tc>
      </w:tr>
      <w:tr w:rsidR="00BF55A7" w14:paraId="1895F4EF" w14:textId="77777777" w:rsidTr="00BF55A7">
        <w:tc>
          <w:tcPr>
            <w:tcW w:w="1795" w:type="dxa"/>
          </w:tcPr>
          <w:p w14:paraId="1895F4EB" w14:textId="77777777" w:rsidR="002F74FB" w:rsidRDefault="002F74FB">
            <w:r>
              <w:t>Scholarship</w:t>
            </w:r>
          </w:p>
        </w:tc>
        <w:tc>
          <w:tcPr>
            <w:tcW w:w="2520" w:type="dxa"/>
          </w:tcPr>
          <w:p w14:paraId="1895F4EC" w14:textId="77777777" w:rsidR="002F74FB" w:rsidRDefault="002F74FB"/>
        </w:tc>
        <w:tc>
          <w:tcPr>
            <w:tcW w:w="2520" w:type="dxa"/>
          </w:tcPr>
          <w:p w14:paraId="1895F4ED" w14:textId="77777777" w:rsidR="002F74FB" w:rsidRDefault="002F74FB"/>
        </w:tc>
        <w:tc>
          <w:tcPr>
            <w:tcW w:w="2515" w:type="dxa"/>
          </w:tcPr>
          <w:p w14:paraId="1895F4EE" w14:textId="77777777" w:rsidR="002F74FB" w:rsidRDefault="002F74FB"/>
        </w:tc>
      </w:tr>
      <w:tr w:rsidR="00BF55A7" w14:paraId="1895F4F4" w14:textId="77777777" w:rsidTr="00BF55A7">
        <w:tc>
          <w:tcPr>
            <w:tcW w:w="1795" w:type="dxa"/>
          </w:tcPr>
          <w:p w14:paraId="1895F4F0" w14:textId="19B5DA76" w:rsidR="002F74FB" w:rsidRDefault="00BF55A7">
            <w:r>
              <w:t>Service</w:t>
            </w:r>
          </w:p>
        </w:tc>
        <w:tc>
          <w:tcPr>
            <w:tcW w:w="2520" w:type="dxa"/>
          </w:tcPr>
          <w:p w14:paraId="1895F4F1" w14:textId="77777777" w:rsidR="002F74FB" w:rsidRDefault="002F74FB"/>
        </w:tc>
        <w:tc>
          <w:tcPr>
            <w:tcW w:w="2520" w:type="dxa"/>
          </w:tcPr>
          <w:p w14:paraId="1895F4F2" w14:textId="77777777" w:rsidR="002F74FB" w:rsidRDefault="002F74FB"/>
        </w:tc>
        <w:tc>
          <w:tcPr>
            <w:tcW w:w="2515" w:type="dxa"/>
          </w:tcPr>
          <w:p w14:paraId="1895F4F3" w14:textId="77777777" w:rsidR="002F74FB" w:rsidRDefault="002F74FB"/>
        </w:tc>
      </w:tr>
    </w:tbl>
    <w:p w14:paraId="1895F4F5" w14:textId="17E87697" w:rsidR="002F74FB" w:rsidRDefault="002F74FB"/>
    <w:p w14:paraId="66A3E2DD" w14:textId="77777777" w:rsidR="0069547F" w:rsidRDefault="0069547F">
      <w:pPr>
        <w:rPr>
          <w:b/>
        </w:rPr>
      </w:pPr>
      <w:r>
        <w:rPr>
          <w:b/>
        </w:rPr>
        <w:br w:type="page"/>
      </w:r>
    </w:p>
    <w:p w14:paraId="4C1A41D7" w14:textId="4CDD737A" w:rsidR="0069547F" w:rsidRPr="0069547F" w:rsidRDefault="0069547F">
      <w:pPr>
        <w:rPr>
          <w:b/>
        </w:rPr>
      </w:pPr>
      <w:r w:rsidRPr="0069547F">
        <w:rPr>
          <w:b/>
        </w:rPr>
        <w:lastRenderedPageBreak/>
        <w:t>Examples of impact, innovation and engagement</w:t>
      </w:r>
    </w:p>
    <w:p w14:paraId="5D17C55C" w14:textId="77777777" w:rsidR="0069547F" w:rsidRPr="00417444" w:rsidRDefault="0069547F" w:rsidP="0069547F">
      <w:pPr>
        <w:jc w:val="center"/>
        <w:rPr>
          <w:b/>
          <w:color w:val="FF0000"/>
          <w:sz w:val="28"/>
          <w:szCs w:val="28"/>
        </w:rPr>
      </w:pPr>
      <w:r w:rsidRPr="00417444">
        <w:rPr>
          <w:b/>
          <w:color w:val="FF0000"/>
          <w:sz w:val="28"/>
          <w:szCs w:val="28"/>
        </w:rPr>
        <w:t>IMPACT</w:t>
      </w:r>
    </w:p>
    <w:p w14:paraId="73FB50CE" w14:textId="77777777" w:rsidR="0069547F" w:rsidRPr="00013D98" w:rsidRDefault="0069547F" w:rsidP="0069547F">
      <w:pPr>
        <w:rPr>
          <w:b/>
        </w:rPr>
      </w:pPr>
      <w:r w:rsidRPr="00013D98">
        <w:rPr>
          <w:b/>
        </w:rPr>
        <w:t xml:space="preserve">Impact - Teaching </w:t>
      </w:r>
    </w:p>
    <w:p w14:paraId="0B57EEBE" w14:textId="77777777" w:rsidR="0069547F" w:rsidRPr="00417444" w:rsidRDefault="0069547F" w:rsidP="0069547F">
      <w:pPr>
        <w:pStyle w:val="Pa0"/>
        <w:numPr>
          <w:ilvl w:val="0"/>
          <w:numId w:val="1"/>
        </w:numPr>
        <w:spacing w:before="100" w:after="20"/>
        <w:ind w:right="260"/>
        <w:rPr>
          <w:rFonts w:asciiTheme="minorHAnsi" w:hAnsiTheme="minorHAnsi" w:cs="Univers"/>
          <w:sz w:val="22"/>
          <w:szCs w:val="22"/>
        </w:rPr>
      </w:pPr>
      <w:r w:rsidRPr="00417444">
        <w:rPr>
          <w:rFonts w:asciiTheme="minorHAnsi" w:hAnsiTheme="minorHAnsi" w:cs="Univers"/>
          <w:b/>
          <w:bCs/>
          <w:sz w:val="22"/>
          <w:szCs w:val="22"/>
        </w:rPr>
        <w:t xml:space="preserve">Writing-Intensive Courses </w:t>
      </w:r>
    </w:p>
    <w:p w14:paraId="476EA4E6" w14:textId="77777777" w:rsidR="0069547F" w:rsidRPr="00013D98" w:rsidRDefault="0069547F" w:rsidP="0069547F">
      <w:pPr>
        <w:pStyle w:val="Pa1"/>
        <w:spacing w:after="80"/>
        <w:ind w:left="720"/>
        <w:rPr>
          <w:rFonts w:asciiTheme="minorHAnsi" w:hAnsiTheme="minorHAnsi" w:cs="Bembo"/>
          <w:color w:val="4C4C4E"/>
          <w:sz w:val="22"/>
          <w:szCs w:val="22"/>
        </w:rPr>
      </w:pPr>
      <w:r w:rsidRPr="00013D98">
        <w:rPr>
          <w:rFonts w:asciiTheme="minorHAnsi" w:hAnsiTheme="minorHAnsi" w:cs="Bembo"/>
          <w:color w:val="4C4C4E"/>
          <w:sz w:val="22"/>
          <w:szCs w:val="22"/>
        </w:rPr>
        <w:t xml:space="preserve">These courses emphasize writing at all levels of instruction and across the curriculum, including final-year projects. Students are encouraged to produce and revise various forms of writing for different audiences in different disciplines. </w:t>
      </w:r>
    </w:p>
    <w:p w14:paraId="7AB8D608" w14:textId="77777777" w:rsidR="0069547F" w:rsidRPr="00417444" w:rsidRDefault="0069547F" w:rsidP="0069547F">
      <w:pPr>
        <w:pStyle w:val="Pa1"/>
        <w:numPr>
          <w:ilvl w:val="0"/>
          <w:numId w:val="1"/>
        </w:numPr>
        <w:spacing w:after="80"/>
        <w:rPr>
          <w:rFonts w:asciiTheme="minorHAnsi" w:hAnsiTheme="minorHAnsi" w:cs="Bembo"/>
          <w:sz w:val="22"/>
          <w:szCs w:val="22"/>
        </w:rPr>
      </w:pPr>
      <w:r w:rsidRPr="00417444">
        <w:rPr>
          <w:rFonts w:asciiTheme="minorHAnsi" w:hAnsiTheme="minorHAnsi" w:cs="Univers"/>
          <w:b/>
          <w:bCs/>
          <w:sz w:val="22"/>
          <w:szCs w:val="22"/>
        </w:rPr>
        <w:t xml:space="preserve">Collaborative Assignments and Projects </w:t>
      </w:r>
    </w:p>
    <w:p w14:paraId="1FF7DFE1" w14:textId="77777777" w:rsidR="0069547F" w:rsidRPr="00013D98" w:rsidRDefault="0069547F" w:rsidP="0069547F">
      <w:pPr>
        <w:spacing w:after="0"/>
        <w:ind w:left="720"/>
        <w:rPr>
          <w:rFonts w:cs="Bembo"/>
          <w:color w:val="4C4C4E"/>
        </w:rPr>
      </w:pPr>
      <w:r w:rsidRPr="00013D98">
        <w:rPr>
          <w:rFonts w:cs="Bembo"/>
          <w:color w:val="4C4C4E"/>
        </w:rPr>
        <w:t>Collaborative learning combines two key goals: learning to work and solve problems in the company of others, and sharpening one’s own understanding by listening seriously to the insights of others, especially those with different backgrounds and life experiences. Approaches range from study groups within a course, to team-based assignments and writing, to cooperative projects and research.</w:t>
      </w:r>
    </w:p>
    <w:p w14:paraId="03546EAB" w14:textId="77777777" w:rsidR="0069547F" w:rsidRPr="00417444" w:rsidRDefault="0069547F" w:rsidP="0069547F">
      <w:pPr>
        <w:pStyle w:val="ListParagraph"/>
        <w:numPr>
          <w:ilvl w:val="0"/>
          <w:numId w:val="1"/>
        </w:numPr>
        <w:spacing w:after="0"/>
        <w:rPr>
          <w:rFonts w:cs="Univers"/>
        </w:rPr>
      </w:pPr>
      <w:r w:rsidRPr="00417444">
        <w:t xml:space="preserve"> </w:t>
      </w:r>
      <w:r w:rsidRPr="00417444">
        <w:rPr>
          <w:rFonts w:cs="Univers"/>
          <w:b/>
          <w:bCs/>
        </w:rPr>
        <w:t xml:space="preserve">Undergraduate Research </w:t>
      </w:r>
      <w:r>
        <w:rPr>
          <w:rFonts w:cs="Univers"/>
          <w:b/>
          <w:bCs/>
        </w:rPr>
        <w:t>– Supervised thesis</w:t>
      </w:r>
    </w:p>
    <w:p w14:paraId="592644E0" w14:textId="77777777" w:rsidR="0069547F" w:rsidRPr="00013D98" w:rsidRDefault="0069547F" w:rsidP="0069547F">
      <w:pPr>
        <w:pStyle w:val="Pa1"/>
        <w:spacing w:after="80"/>
        <w:ind w:left="720"/>
        <w:rPr>
          <w:rFonts w:asciiTheme="minorHAnsi" w:hAnsiTheme="minorHAnsi" w:cs="Bembo"/>
          <w:color w:val="4C4C4E"/>
          <w:sz w:val="22"/>
          <w:szCs w:val="22"/>
        </w:rPr>
      </w:pPr>
      <w:r w:rsidRPr="00013D98">
        <w:rPr>
          <w:rFonts w:asciiTheme="minorHAnsi" w:hAnsiTheme="minorHAnsi" w:cs="Bembo"/>
          <w:color w:val="4C4C4E"/>
          <w:sz w:val="22"/>
          <w:szCs w:val="22"/>
        </w:rPr>
        <w:t xml:space="preserve">Students are actively involvement in systematic investigation and research. The goal is to involve students with actively contested questions, empirical observation, cutting-edge technologies, and the sense of excitement that comes from working to answer important questions. </w:t>
      </w:r>
    </w:p>
    <w:p w14:paraId="2C2D2C68" w14:textId="77777777" w:rsidR="0069547F" w:rsidRPr="00417444" w:rsidRDefault="0069547F" w:rsidP="0069547F">
      <w:pPr>
        <w:pStyle w:val="Pa0"/>
        <w:numPr>
          <w:ilvl w:val="0"/>
          <w:numId w:val="1"/>
        </w:numPr>
        <w:spacing w:before="100" w:after="20"/>
        <w:ind w:right="260"/>
        <w:rPr>
          <w:rFonts w:asciiTheme="minorHAnsi" w:hAnsiTheme="minorHAnsi" w:cs="Univers"/>
          <w:sz w:val="22"/>
          <w:szCs w:val="22"/>
        </w:rPr>
      </w:pPr>
      <w:r w:rsidRPr="00417444">
        <w:rPr>
          <w:rFonts w:asciiTheme="minorHAnsi" w:hAnsiTheme="minorHAnsi" w:cs="Univers"/>
          <w:b/>
          <w:bCs/>
          <w:sz w:val="22"/>
          <w:szCs w:val="22"/>
        </w:rPr>
        <w:t xml:space="preserve">Diversity/Global Learning </w:t>
      </w:r>
    </w:p>
    <w:p w14:paraId="5C0D52E4" w14:textId="77777777" w:rsidR="0069547F" w:rsidRPr="00013D98" w:rsidRDefault="0069547F" w:rsidP="0069547F">
      <w:pPr>
        <w:pStyle w:val="Pa1"/>
        <w:spacing w:after="80"/>
        <w:ind w:left="720"/>
        <w:rPr>
          <w:rFonts w:asciiTheme="minorHAnsi" w:hAnsiTheme="minorHAnsi" w:cs="Bembo"/>
          <w:color w:val="4C4C4E"/>
          <w:sz w:val="22"/>
          <w:szCs w:val="22"/>
        </w:rPr>
      </w:pPr>
      <w:r w:rsidRPr="00013D98">
        <w:rPr>
          <w:rFonts w:asciiTheme="minorHAnsi" w:hAnsiTheme="minorHAnsi" w:cs="Bembo"/>
          <w:color w:val="4C4C4E"/>
          <w:sz w:val="22"/>
          <w:szCs w:val="22"/>
        </w:rPr>
        <w:t xml:space="preserve">Students explore cultures, life experiences, and worldviews different from their own. These studies—which may address U.S. diversity, world cultures, or both—often explore “difficult differences” such as racial, ethnic, and gender inequality, or continuing struggles around the globe for human rights, freedom, and power. </w:t>
      </w:r>
    </w:p>
    <w:p w14:paraId="0631EF1D" w14:textId="77777777" w:rsidR="0069547F" w:rsidRPr="00417444" w:rsidRDefault="0069547F" w:rsidP="0069547F">
      <w:pPr>
        <w:pStyle w:val="Pa0"/>
        <w:numPr>
          <w:ilvl w:val="0"/>
          <w:numId w:val="1"/>
        </w:numPr>
        <w:spacing w:before="100" w:after="20"/>
        <w:ind w:right="260"/>
        <w:rPr>
          <w:rFonts w:asciiTheme="minorHAnsi" w:hAnsiTheme="minorHAnsi" w:cs="Univers"/>
          <w:sz w:val="22"/>
          <w:szCs w:val="22"/>
        </w:rPr>
      </w:pPr>
      <w:r w:rsidRPr="00417444">
        <w:rPr>
          <w:rFonts w:asciiTheme="minorHAnsi" w:hAnsiTheme="minorHAnsi" w:cs="Univers"/>
          <w:b/>
          <w:bCs/>
          <w:sz w:val="22"/>
          <w:szCs w:val="22"/>
        </w:rPr>
        <w:t xml:space="preserve">Service Learning, Community-Based Learning </w:t>
      </w:r>
    </w:p>
    <w:p w14:paraId="44AEEFCB" w14:textId="77777777" w:rsidR="0069547F" w:rsidRDefault="0069547F" w:rsidP="0069547F">
      <w:pPr>
        <w:ind w:left="720"/>
        <w:rPr>
          <w:rFonts w:cs="Bembo"/>
          <w:color w:val="4C4C4E"/>
        </w:rPr>
      </w:pPr>
      <w:r w:rsidRPr="00013D98">
        <w:rPr>
          <w:rFonts w:cs="Bembo"/>
          <w:color w:val="4C4C4E"/>
        </w:rPr>
        <w:t xml:space="preserve">Field-based “experiential learning” to give students direct experience with issues they are studying in the curriculum and with ongoing efforts to analyze and solve problems in the community. A key element in these programs is the opportunity students have to both </w:t>
      </w:r>
      <w:r w:rsidRPr="00013D98">
        <w:rPr>
          <w:rFonts w:cs="Bembo"/>
          <w:i/>
          <w:iCs/>
          <w:color w:val="4C4C4E"/>
        </w:rPr>
        <w:t xml:space="preserve">apply </w:t>
      </w:r>
      <w:r w:rsidRPr="00013D98">
        <w:rPr>
          <w:rFonts w:cs="Bembo"/>
          <w:color w:val="4C4C4E"/>
        </w:rPr>
        <w:t xml:space="preserve">what they are learning in real-world settings and </w:t>
      </w:r>
      <w:r w:rsidRPr="00013D98">
        <w:rPr>
          <w:rFonts w:cs="Bembo"/>
          <w:i/>
          <w:iCs/>
          <w:color w:val="4C4C4E"/>
        </w:rPr>
        <w:t xml:space="preserve">reflect </w:t>
      </w:r>
      <w:r w:rsidRPr="00013D98">
        <w:rPr>
          <w:rFonts w:cs="Bembo"/>
          <w:color w:val="4C4C4E"/>
        </w:rPr>
        <w:t>in a classroom setting on their service experiences. These programs model the idea that giving something back to the community is an important college outcome, and that working with community partners is good preparation for citizenship, work, and life.</w:t>
      </w:r>
    </w:p>
    <w:p w14:paraId="06322ACC" w14:textId="77777777" w:rsidR="0069547F" w:rsidRPr="00417444" w:rsidRDefault="0069547F" w:rsidP="0069547F">
      <w:pPr>
        <w:rPr>
          <w:rFonts w:cs="Bembo"/>
          <w:b/>
          <w:color w:val="4C4C4E"/>
        </w:rPr>
      </w:pPr>
      <w:r w:rsidRPr="00417444">
        <w:rPr>
          <w:rFonts w:cs="Bembo"/>
          <w:b/>
          <w:color w:val="4C4C4E"/>
        </w:rPr>
        <w:t>Impact – Scholarship</w:t>
      </w:r>
    </w:p>
    <w:p w14:paraId="4DA084BD" w14:textId="77777777" w:rsidR="0069547F" w:rsidRPr="00016EAB" w:rsidRDefault="0069547F" w:rsidP="0069547F">
      <w:pPr>
        <w:pStyle w:val="ListParagraph"/>
        <w:numPr>
          <w:ilvl w:val="0"/>
          <w:numId w:val="2"/>
        </w:numPr>
        <w:spacing w:after="0"/>
        <w:jc w:val="both"/>
        <w:rPr>
          <w:rFonts w:eastAsia="Times New Roman" w:cs="Arial"/>
        </w:rPr>
      </w:pPr>
      <w:r>
        <w:rPr>
          <w:rFonts w:eastAsia="Times New Roman" w:cs="Arial"/>
          <w:bCs/>
        </w:rPr>
        <w:t>List # of A, B, C journal publications.</w:t>
      </w:r>
    </w:p>
    <w:p w14:paraId="22111C15" w14:textId="77777777" w:rsidR="0069547F" w:rsidRPr="00016EAB" w:rsidRDefault="0069547F" w:rsidP="0069547F">
      <w:pPr>
        <w:pStyle w:val="ListParagraph"/>
        <w:numPr>
          <w:ilvl w:val="0"/>
          <w:numId w:val="2"/>
        </w:numPr>
        <w:spacing w:after="0"/>
        <w:jc w:val="both"/>
        <w:rPr>
          <w:rFonts w:eastAsia="Times New Roman" w:cs="Arial"/>
        </w:rPr>
      </w:pPr>
      <w:r>
        <w:rPr>
          <w:rFonts w:eastAsia="Times New Roman" w:cs="Arial"/>
        </w:rPr>
        <w:t>S</w:t>
      </w:r>
      <w:r w:rsidRPr="00016EAB">
        <w:rPr>
          <w:rFonts w:eastAsia="Times New Roman" w:cs="Arial"/>
        </w:rPr>
        <w:t>ignificant scholarship activities that connect to the professional community (ex., editorship, associate editorship, editorial board memberships, invitation to serve as journal reviewer, appointment to leadership position in professional association, conduct external reviews (ex. P&amp;T) at other schools)</w:t>
      </w:r>
    </w:p>
    <w:p w14:paraId="056F07CE" w14:textId="77777777" w:rsidR="0069547F" w:rsidRPr="004F0348" w:rsidRDefault="0069547F" w:rsidP="0069547F">
      <w:pPr>
        <w:pStyle w:val="ListParagraph"/>
        <w:numPr>
          <w:ilvl w:val="0"/>
          <w:numId w:val="2"/>
        </w:numPr>
        <w:spacing w:after="0"/>
        <w:jc w:val="both"/>
        <w:rPr>
          <w:rFonts w:eastAsia="Times New Roman" w:cs="Arial"/>
        </w:rPr>
      </w:pPr>
      <w:r w:rsidRPr="004F0348">
        <w:rPr>
          <w:rFonts w:eastAsia="Times New Roman" w:cs="Arial"/>
        </w:rPr>
        <w:t>Citation counts</w:t>
      </w:r>
      <w:r>
        <w:rPr>
          <w:rFonts w:eastAsia="Times New Roman" w:cs="Arial"/>
        </w:rPr>
        <w:t xml:space="preserve"> for specific journal articles.</w:t>
      </w:r>
    </w:p>
    <w:p w14:paraId="0F8B29D4" w14:textId="77777777" w:rsidR="0069547F" w:rsidRPr="004F0348" w:rsidRDefault="0069547F" w:rsidP="0069547F">
      <w:pPr>
        <w:pStyle w:val="ListParagraph"/>
        <w:numPr>
          <w:ilvl w:val="0"/>
          <w:numId w:val="2"/>
        </w:numPr>
        <w:spacing w:after="0"/>
        <w:jc w:val="both"/>
        <w:rPr>
          <w:rFonts w:eastAsia="Times New Roman" w:cs="Arial"/>
        </w:rPr>
      </w:pPr>
      <w:r w:rsidRPr="004F0348">
        <w:rPr>
          <w:rFonts w:eastAsia="Times New Roman" w:cs="Arial"/>
        </w:rPr>
        <w:t>Download counts for articles in electronic journals</w:t>
      </w:r>
    </w:p>
    <w:p w14:paraId="68D06222" w14:textId="77777777" w:rsidR="0069547F" w:rsidRPr="004F0348" w:rsidRDefault="0069547F" w:rsidP="0069547F">
      <w:pPr>
        <w:pStyle w:val="ListParagraph"/>
        <w:numPr>
          <w:ilvl w:val="0"/>
          <w:numId w:val="2"/>
        </w:numPr>
        <w:spacing w:after="0"/>
        <w:jc w:val="both"/>
        <w:rPr>
          <w:rFonts w:eastAsia="Times New Roman" w:cs="Arial"/>
        </w:rPr>
      </w:pPr>
      <w:r w:rsidRPr="004F0348">
        <w:rPr>
          <w:rFonts w:eastAsia="Times New Roman" w:cs="Arial"/>
        </w:rPr>
        <w:lastRenderedPageBreak/>
        <w:t>Recognitions for r</w:t>
      </w:r>
      <w:r>
        <w:rPr>
          <w:rFonts w:eastAsia="Times New Roman" w:cs="Arial"/>
        </w:rPr>
        <w:t>esearch (e.g., Best Paper Award</w:t>
      </w:r>
      <w:r w:rsidRPr="004F0348">
        <w:rPr>
          <w:rFonts w:eastAsia="Times New Roman" w:cs="Arial"/>
        </w:rPr>
        <w:t>, fellow status in an academic society, and other recognition by professional and/or academic societies for intellectual contribution outcomes</w:t>
      </w:r>
      <w:r>
        <w:rPr>
          <w:rFonts w:eastAsia="Times New Roman" w:cs="Arial"/>
        </w:rPr>
        <w:t>)</w:t>
      </w:r>
    </w:p>
    <w:p w14:paraId="1D51B46E" w14:textId="77777777" w:rsidR="0069547F" w:rsidRPr="004F0348" w:rsidRDefault="0069547F" w:rsidP="0069547F">
      <w:pPr>
        <w:pStyle w:val="ListParagraph"/>
        <w:numPr>
          <w:ilvl w:val="0"/>
          <w:numId w:val="2"/>
        </w:numPr>
        <w:spacing w:after="0"/>
        <w:jc w:val="both"/>
        <w:rPr>
          <w:rFonts w:eastAsia="Times New Roman" w:cs="Arial"/>
        </w:rPr>
      </w:pPr>
      <w:r>
        <w:rPr>
          <w:rFonts w:eastAsia="Times New Roman" w:cs="Arial"/>
        </w:rPr>
        <w:t>Participation</w:t>
      </w:r>
      <w:r w:rsidRPr="004F0348">
        <w:rPr>
          <w:rFonts w:eastAsia="Times New Roman" w:cs="Arial"/>
        </w:rPr>
        <w:t xml:space="preserve"> in </w:t>
      </w:r>
      <w:r>
        <w:rPr>
          <w:rFonts w:eastAsia="Times New Roman" w:cs="Arial"/>
        </w:rPr>
        <w:t>academic/professional</w:t>
      </w:r>
      <w:r w:rsidRPr="004F0348">
        <w:rPr>
          <w:rFonts w:eastAsia="Times New Roman" w:cs="Arial"/>
        </w:rPr>
        <w:t xml:space="preserve"> conferences, scholarly programs, and/or international, nationa</w:t>
      </w:r>
      <w:r>
        <w:rPr>
          <w:rFonts w:eastAsia="Times New Roman" w:cs="Arial"/>
        </w:rPr>
        <w:t>l, or regional research forums.</w:t>
      </w:r>
    </w:p>
    <w:p w14:paraId="6283A006" w14:textId="77777777" w:rsidR="0069547F" w:rsidRDefault="0069547F" w:rsidP="0069547F">
      <w:pPr>
        <w:pStyle w:val="ListParagraph"/>
        <w:numPr>
          <w:ilvl w:val="0"/>
          <w:numId w:val="2"/>
        </w:numPr>
        <w:jc w:val="both"/>
        <w:rPr>
          <w:rFonts w:eastAsia="Times New Roman" w:cs="Arial"/>
        </w:rPr>
      </w:pPr>
      <w:r w:rsidRPr="004F0348">
        <w:rPr>
          <w:rFonts w:eastAsia="Times New Roman" w:cs="Arial"/>
        </w:rPr>
        <w:t>Competitive grants awarded by</w:t>
      </w:r>
      <w:r>
        <w:rPr>
          <w:rFonts w:eastAsia="Times New Roman" w:cs="Arial"/>
        </w:rPr>
        <w:t xml:space="preserve"> external agencies</w:t>
      </w:r>
      <w:r w:rsidRPr="004F0348">
        <w:rPr>
          <w:rFonts w:eastAsia="Times New Roman" w:cs="Arial"/>
        </w:rPr>
        <w:t xml:space="preserve"> or third-party funding for research projects</w:t>
      </w:r>
    </w:p>
    <w:p w14:paraId="6E9EEBA1" w14:textId="77777777" w:rsidR="0069547F" w:rsidRDefault="0069547F" w:rsidP="0069547F">
      <w:pPr>
        <w:rPr>
          <w:b/>
        </w:rPr>
      </w:pPr>
      <w:r w:rsidRPr="00417444">
        <w:rPr>
          <w:b/>
        </w:rPr>
        <w:t xml:space="preserve">Impact </w:t>
      </w:r>
      <w:r>
        <w:rPr>
          <w:b/>
        </w:rPr>
        <w:t>–</w:t>
      </w:r>
      <w:r w:rsidRPr="00417444">
        <w:rPr>
          <w:b/>
        </w:rPr>
        <w:t xml:space="preserve"> Service</w:t>
      </w:r>
    </w:p>
    <w:p w14:paraId="61C27D71" w14:textId="77777777" w:rsidR="0069547F" w:rsidRDefault="0069547F" w:rsidP="0069547F">
      <w:pPr>
        <w:numPr>
          <w:ilvl w:val="0"/>
          <w:numId w:val="3"/>
        </w:numPr>
        <w:spacing w:after="0"/>
        <w:jc w:val="both"/>
        <w:rPr>
          <w:rFonts w:eastAsia="Times New Roman" w:cs="Arial"/>
        </w:rPr>
      </w:pPr>
      <w:r>
        <w:rPr>
          <w:rFonts w:eastAsia="Times New Roman" w:cs="Arial"/>
        </w:rPr>
        <w:t>Media citations</w:t>
      </w:r>
    </w:p>
    <w:p w14:paraId="7D533EED" w14:textId="77777777" w:rsidR="0069547F" w:rsidRPr="005B3411" w:rsidRDefault="0069547F" w:rsidP="0069547F">
      <w:pPr>
        <w:numPr>
          <w:ilvl w:val="0"/>
          <w:numId w:val="3"/>
        </w:numPr>
        <w:spacing w:after="0"/>
        <w:jc w:val="both"/>
        <w:rPr>
          <w:rFonts w:eastAsia="Times New Roman" w:cs="Arial"/>
        </w:rPr>
      </w:pPr>
      <w:r w:rsidRPr="005B3411">
        <w:rPr>
          <w:rFonts w:eastAsia="Times New Roman" w:cs="Arial"/>
        </w:rPr>
        <w:t>Books and publications in practitioner journals</w:t>
      </w:r>
      <w:r>
        <w:rPr>
          <w:rFonts w:eastAsia="Times New Roman" w:cs="Arial"/>
        </w:rPr>
        <w:t xml:space="preserve"> or in new media</w:t>
      </w:r>
      <w:r w:rsidRPr="005B3411">
        <w:rPr>
          <w:rFonts w:eastAsia="Times New Roman" w:cs="Arial"/>
        </w:rPr>
        <w:t xml:space="preserve"> (by number of editions, number of downloads, number of views, use in teaching, sales volume, etc.)</w:t>
      </w:r>
    </w:p>
    <w:p w14:paraId="7DA1F2FE" w14:textId="77777777" w:rsidR="0069547F" w:rsidRPr="001E030C" w:rsidRDefault="0069547F" w:rsidP="0069547F">
      <w:pPr>
        <w:numPr>
          <w:ilvl w:val="0"/>
          <w:numId w:val="3"/>
        </w:numPr>
        <w:spacing w:before="100" w:beforeAutospacing="1" w:after="100" w:afterAutospacing="1"/>
        <w:jc w:val="both"/>
        <w:rPr>
          <w:rFonts w:eastAsia="Times New Roman" w:cs="Arial"/>
        </w:rPr>
      </w:pPr>
      <w:r w:rsidRPr="001E030C">
        <w:rPr>
          <w:rFonts w:eastAsia="Times New Roman" w:cs="Arial"/>
        </w:rPr>
        <w:t>Presentations and workshops for the community</w:t>
      </w:r>
      <w:r>
        <w:rPr>
          <w:rFonts w:eastAsia="Times New Roman" w:cs="Arial"/>
        </w:rPr>
        <w:t>.</w:t>
      </w:r>
    </w:p>
    <w:p w14:paraId="48F405DD" w14:textId="77777777" w:rsidR="0069547F" w:rsidRPr="001E030C" w:rsidRDefault="0069547F" w:rsidP="0069547F">
      <w:pPr>
        <w:numPr>
          <w:ilvl w:val="0"/>
          <w:numId w:val="3"/>
        </w:numPr>
        <w:spacing w:before="100" w:beforeAutospacing="1" w:after="100" w:afterAutospacing="1"/>
        <w:jc w:val="both"/>
        <w:rPr>
          <w:rFonts w:eastAsia="Times New Roman" w:cs="Arial"/>
        </w:rPr>
      </w:pPr>
      <w:r w:rsidRPr="001E030C">
        <w:rPr>
          <w:rFonts w:eastAsia="Times New Roman" w:cs="Arial"/>
        </w:rPr>
        <w:t>Memberships on boards of directors of corporate and non-profit organizations</w:t>
      </w:r>
      <w:r>
        <w:rPr>
          <w:rFonts w:eastAsia="Times New Roman" w:cs="Arial"/>
        </w:rPr>
        <w:t>.</w:t>
      </w:r>
    </w:p>
    <w:p w14:paraId="5491D869" w14:textId="77777777" w:rsidR="0069547F" w:rsidRDefault="0069547F" w:rsidP="0069547F">
      <w:pPr>
        <w:numPr>
          <w:ilvl w:val="0"/>
          <w:numId w:val="3"/>
        </w:numPr>
        <w:spacing w:before="100" w:beforeAutospacing="1" w:after="100" w:afterAutospacing="1"/>
        <w:jc w:val="both"/>
        <w:rPr>
          <w:rFonts w:eastAsia="Times New Roman" w:cs="Arial"/>
        </w:rPr>
      </w:pPr>
      <w:r w:rsidRPr="00417444">
        <w:rPr>
          <w:rFonts w:eastAsia="Times New Roman" w:cs="Arial"/>
        </w:rPr>
        <w:t xml:space="preserve">Number of collaborative research and outreach activities </w:t>
      </w:r>
    </w:p>
    <w:p w14:paraId="7A2807E9" w14:textId="77777777" w:rsidR="0069547F" w:rsidRPr="00417444" w:rsidRDefault="0069547F" w:rsidP="0069547F">
      <w:pPr>
        <w:numPr>
          <w:ilvl w:val="0"/>
          <w:numId w:val="3"/>
        </w:numPr>
        <w:spacing w:before="100" w:beforeAutospacing="1" w:after="100" w:afterAutospacing="1"/>
        <w:jc w:val="both"/>
        <w:rPr>
          <w:b/>
        </w:rPr>
      </w:pPr>
      <w:r w:rsidRPr="00417444">
        <w:rPr>
          <w:rFonts w:eastAsia="Times New Roman" w:cs="Arial"/>
        </w:rPr>
        <w:t xml:space="preserve">Number of service-learning and civic engagement activities </w:t>
      </w:r>
    </w:p>
    <w:p w14:paraId="6CC478B1" w14:textId="77777777" w:rsidR="0069547F" w:rsidRDefault="0069547F" w:rsidP="0069547F">
      <w:pPr>
        <w:spacing w:before="100" w:beforeAutospacing="1" w:after="100" w:afterAutospacing="1"/>
        <w:jc w:val="center"/>
        <w:rPr>
          <w:rFonts w:eastAsia="Times New Roman" w:cs="Arial"/>
          <w:b/>
          <w:color w:val="FF0000"/>
          <w:sz w:val="28"/>
          <w:szCs w:val="28"/>
        </w:rPr>
      </w:pPr>
      <w:r w:rsidRPr="00417444">
        <w:rPr>
          <w:rFonts w:eastAsia="Times New Roman" w:cs="Arial"/>
          <w:b/>
          <w:color w:val="FF0000"/>
          <w:sz w:val="28"/>
          <w:szCs w:val="28"/>
        </w:rPr>
        <w:t>Innovation</w:t>
      </w:r>
    </w:p>
    <w:p w14:paraId="485712AA" w14:textId="77777777" w:rsidR="0069547F" w:rsidRDefault="0069547F" w:rsidP="0069547F">
      <w:pPr>
        <w:rPr>
          <w:b/>
        </w:rPr>
      </w:pPr>
      <w:r>
        <w:rPr>
          <w:b/>
        </w:rPr>
        <w:t>Teaching</w:t>
      </w:r>
    </w:p>
    <w:p w14:paraId="4F73E10B" w14:textId="77777777" w:rsidR="0069547F" w:rsidRDefault="0069547F" w:rsidP="0069547F">
      <w:pPr>
        <w:pStyle w:val="ListParagraph"/>
        <w:numPr>
          <w:ilvl w:val="0"/>
          <w:numId w:val="4"/>
        </w:numPr>
        <w:spacing w:after="160" w:line="259" w:lineRule="auto"/>
      </w:pPr>
      <w:r>
        <w:t>Experimentation with pedagogy:</w:t>
      </w:r>
    </w:p>
    <w:p w14:paraId="2B8D424E" w14:textId="77777777" w:rsidR="0069547F" w:rsidRDefault="0069547F" w:rsidP="0069547F">
      <w:pPr>
        <w:pStyle w:val="ListParagraph"/>
        <w:numPr>
          <w:ilvl w:val="1"/>
          <w:numId w:val="4"/>
        </w:numPr>
        <w:spacing w:after="160" w:line="259" w:lineRule="auto"/>
      </w:pPr>
      <w:r>
        <w:t>New pedagogical methods including flipped classroom, co-teaching, hybrid, and online offerings</w:t>
      </w:r>
    </w:p>
    <w:p w14:paraId="653585F9" w14:textId="77777777" w:rsidR="0069547F" w:rsidRDefault="0069547F" w:rsidP="0069547F">
      <w:pPr>
        <w:pStyle w:val="ListParagraph"/>
        <w:numPr>
          <w:ilvl w:val="1"/>
          <w:numId w:val="4"/>
        </w:numPr>
        <w:spacing w:after="160" w:line="259" w:lineRule="auto"/>
      </w:pPr>
      <w:r>
        <w:t xml:space="preserve">New and revised assignments and exams including business plan/ business pitch assignments, interactive exercises, “hands-on assignments”, and service-learning </w:t>
      </w:r>
    </w:p>
    <w:p w14:paraId="516180EA" w14:textId="77777777" w:rsidR="0069547F" w:rsidRDefault="0069547F" w:rsidP="0069547F">
      <w:pPr>
        <w:pStyle w:val="ListParagraph"/>
        <w:numPr>
          <w:ilvl w:val="1"/>
          <w:numId w:val="4"/>
        </w:numPr>
        <w:spacing w:after="160" w:line="259" w:lineRule="auto"/>
      </w:pPr>
      <w:r>
        <w:t>Integration of cases in courses including case competitions in the class</w:t>
      </w:r>
    </w:p>
    <w:p w14:paraId="249B7A95" w14:textId="77777777" w:rsidR="0069547F" w:rsidRDefault="0069547F" w:rsidP="0069547F">
      <w:pPr>
        <w:pStyle w:val="ListParagraph"/>
        <w:numPr>
          <w:ilvl w:val="1"/>
          <w:numId w:val="4"/>
        </w:numPr>
        <w:spacing w:after="160" w:line="259" w:lineRule="auto"/>
      </w:pPr>
      <w:r>
        <w:t>Integration of technology in courses including utilizing new technology sources (open source), clickers, online formats (GitHub), software, simulations, blogs, video-conferencing, and Adaptive Learning Technology (AI)</w:t>
      </w:r>
    </w:p>
    <w:p w14:paraId="7BBA7D58" w14:textId="77777777" w:rsidR="0069547F" w:rsidRDefault="0069547F" w:rsidP="0069547F">
      <w:pPr>
        <w:pStyle w:val="ListParagraph"/>
        <w:numPr>
          <w:ilvl w:val="1"/>
          <w:numId w:val="4"/>
        </w:numPr>
        <w:spacing w:after="160" w:line="259" w:lineRule="auto"/>
      </w:pPr>
      <w:r>
        <w:t>Integrate cutting-edge topics into the curriculum</w:t>
      </w:r>
    </w:p>
    <w:p w14:paraId="3C67834B" w14:textId="77777777" w:rsidR="0069547F" w:rsidRDefault="0069547F" w:rsidP="0069547F">
      <w:pPr>
        <w:pStyle w:val="ListParagraph"/>
        <w:numPr>
          <w:ilvl w:val="1"/>
          <w:numId w:val="4"/>
        </w:numPr>
        <w:spacing w:after="160" w:line="259" w:lineRule="auto"/>
      </w:pPr>
      <w:r>
        <w:t>Integration of industry, “real-world” through guest speakers, field trips, and “real-life” projects</w:t>
      </w:r>
    </w:p>
    <w:p w14:paraId="6A24A47E" w14:textId="77777777" w:rsidR="0069547F" w:rsidRDefault="0069547F" w:rsidP="0069547F">
      <w:pPr>
        <w:pStyle w:val="ListParagraph"/>
        <w:numPr>
          <w:ilvl w:val="1"/>
          <w:numId w:val="4"/>
        </w:numPr>
        <w:spacing w:after="160" w:line="259" w:lineRule="auto"/>
      </w:pPr>
      <w:r>
        <w:t>Utilize cost-effective alternates for course materials</w:t>
      </w:r>
    </w:p>
    <w:p w14:paraId="1AC76438" w14:textId="77777777" w:rsidR="0069547F" w:rsidRDefault="0069547F" w:rsidP="0069547F">
      <w:pPr>
        <w:pStyle w:val="ListParagraph"/>
        <w:numPr>
          <w:ilvl w:val="1"/>
          <w:numId w:val="4"/>
        </w:numPr>
        <w:spacing w:after="160" w:line="259" w:lineRule="auto"/>
      </w:pPr>
      <w:r>
        <w:t>New course development to include interdisciplinary courses with team teaching and Honors Thesis</w:t>
      </w:r>
    </w:p>
    <w:p w14:paraId="6E5C8824" w14:textId="77777777" w:rsidR="0069547F" w:rsidRDefault="0069547F" w:rsidP="0069547F">
      <w:pPr>
        <w:pStyle w:val="ListParagraph"/>
        <w:numPr>
          <w:ilvl w:val="0"/>
          <w:numId w:val="4"/>
        </w:numPr>
        <w:spacing w:after="160" w:line="259" w:lineRule="auto"/>
      </w:pPr>
      <w:r>
        <w:t>Provide opportunities for research in the classroom including the use of the Behavioral Lab, T. Rowe Price Finance Lab, and increasing the number of Independent studies</w:t>
      </w:r>
    </w:p>
    <w:p w14:paraId="6EDFB813" w14:textId="77777777" w:rsidR="0069547F" w:rsidRDefault="0069547F" w:rsidP="0069547F">
      <w:pPr>
        <w:pStyle w:val="ListParagraph"/>
        <w:numPr>
          <w:ilvl w:val="0"/>
          <w:numId w:val="4"/>
        </w:numPr>
        <w:spacing w:after="160" w:line="259" w:lineRule="auto"/>
      </w:pPr>
      <w:r>
        <w:t>Integrate external certifications within curriculum as foundation of learning</w:t>
      </w:r>
    </w:p>
    <w:p w14:paraId="17A5996E" w14:textId="77777777" w:rsidR="0069547F" w:rsidRDefault="0069547F" w:rsidP="0069547F">
      <w:pPr>
        <w:pStyle w:val="ListParagraph"/>
        <w:numPr>
          <w:ilvl w:val="0"/>
          <w:numId w:val="4"/>
        </w:numPr>
        <w:spacing w:after="160" w:line="259" w:lineRule="auto"/>
      </w:pPr>
      <w:r>
        <w:t xml:space="preserve">Provide learning opportunities for students and faculty outside of the classroom </w:t>
      </w:r>
    </w:p>
    <w:p w14:paraId="46FBD36C" w14:textId="77777777" w:rsidR="0069547F" w:rsidRDefault="0069547F" w:rsidP="0069547F">
      <w:pPr>
        <w:pStyle w:val="ListParagraph"/>
        <w:numPr>
          <w:ilvl w:val="0"/>
          <w:numId w:val="4"/>
        </w:numPr>
        <w:spacing w:after="160" w:line="259" w:lineRule="auto"/>
      </w:pPr>
      <w:r>
        <w:t xml:space="preserve">Introduction of forward-looking programs </w:t>
      </w:r>
    </w:p>
    <w:p w14:paraId="45EAB47E" w14:textId="77777777" w:rsidR="0069547F" w:rsidRDefault="0069547F" w:rsidP="0069547F">
      <w:pPr>
        <w:rPr>
          <w:b/>
        </w:rPr>
      </w:pPr>
      <w:r>
        <w:rPr>
          <w:b/>
        </w:rPr>
        <w:t>Scholarship</w:t>
      </w:r>
    </w:p>
    <w:p w14:paraId="581B32F1" w14:textId="77777777" w:rsidR="0069547F" w:rsidRDefault="0069547F" w:rsidP="0069547F">
      <w:pPr>
        <w:pStyle w:val="ListParagraph"/>
        <w:numPr>
          <w:ilvl w:val="0"/>
          <w:numId w:val="4"/>
        </w:numPr>
        <w:spacing w:after="160" w:line="259" w:lineRule="auto"/>
      </w:pPr>
      <w:r>
        <w:t xml:space="preserve">Adoption of new research methodologies </w:t>
      </w:r>
    </w:p>
    <w:p w14:paraId="267E3A58" w14:textId="77777777" w:rsidR="0069547F" w:rsidRDefault="0069547F" w:rsidP="0069547F">
      <w:pPr>
        <w:pStyle w:val="ListParagraph"/>
        <w:numPr>
          <w:ilvl w:val="0"/>
          <w:numId w:val="4"/>
        </w:numPr>
        <w:spacing w:after="160" w:line="259" w:lineRule="auto"/>
      </w:pPr>
      <w:r>
        <w:lastRenderedPageBreak/>
        <w:t>Engage students in research and dissemination of findings</w:t>
      </w:r>
    </w:p>
    <w:p w14:paraId="5390FFEF" w14:textId="77777777" w:rsidR="0069547F" w:rsidRDefault="0069547F" w:rsidP="0069547F">
      <w:pPr>
        <w:pStyle w:val="ListParagraph"/>
        <w:numPr>
          <w:ilvl w:val="0"/>
          <w:numId w:val="4"/>
        </w:numPr>
        <w:spacing w:after="160" w:line="259" w:lineRule="auto"/>
      </w:pPr>
      <w:r>
        <w:t>Broaden scope of multi-disciplinary research</w:t>
      </w:r>
    </w:p>
    <w:p w14:paraId="7CB755FA" w14:textId="77777777" w:rsidR="0069547F" w:rsidRDefault="0069547F" w:rsidP="0069547F">
      <w:pPr>
        <w:pStyle w:val="ListParagraph"/>
        <w:numPr>
          <w:ilvl w:val="0"/>
          <w:numId w:val="4"/>
        </w:numPr>
        <w:spacing w:after="160" w:line="259" w:lineRule="auto"/>
      </w:pPr>
      <w:r>
        <w:t>Pursue patents and trademarks</w:t>
      </w:r>
    </w:p>
    <w:p w14:paraId="206A5614" w14:textId="77777777" w:rsidR="0069547F" w:rsidRDefault="0069547F" w:rsidP="0069547F">
      <w:pPr>
        <w:pStyle w:val="ListParagraph"/>
        <w:numPr>
          <w:ilvl w:val="0"/>
          <w:numId w:val="4"/>
        </w:numPr>
        <w:spacing w:after="160" w:line="259" w:lineRule="auto"/>
      </w:pPr>
      <w:r>
        <w:t>Secure non-traditional funding for research, i.e. fellowships, grants, contracts</w:t>
      </w:r>
    </w:p>
    <w:p w14:paraId="2A74F34A" w14:textId="77777777" w:rsidR="0069547F" w:rsidRDefault="0069547F" w:rsidP="0069547F">
      <w:pPr>
        <w:pStyle w:val="ListParagraph"/>
        <w:numPr>
          <w:ilvl w:val="0"/>
          <w:numId w:val="4"/>
        </w:numPr>
        <w:spacing w:after="160" w:line="259" w:lineRule="auto"/>
      </w:pPr>
      <w:r>
        <w:t>Translate research for different audiences and media</w:t>
      </w:r>
    </w:p>
    <w:p w14:paraId="63A6364C" w14:textId="77777777" w:rsidR="0069547F" w:rsidRPr="00EA1FA2" w:rsidRDefault="0069547F" w:rsidP="0069547F">
      <w:pPr>
        <w:rPr>
          <w:b/>
        </w:rPr>
      </w:pPr>
      <w:r>
        <w:rPr>
          <w:b/>
        </w:rPr>
        <w:t>Service</w:t>
      </w:r>
    </w:p>
    <w:p w14:paraId="7A7DE855" w14:textId="77777777" w:rsidR="0069547F" w:rsidRDefault="0069547F" w:rsidP="0069547F">
      <w:pPr>
        <w:pStyle w:val="ListParagraph"/>
        <w:numPr>
          <w:ilvl w:val="0"/>
          <w:numId w:val="4"/>
        </w:numPr>
        <w:spacing w:after="160" w:line="259" w:lineRule="auto"/>
      </w:pPr>
      <w:r w:rsidRPr="00323542">
        <w:t>New internal opportunities</w:t>
      </w:r>
      <w:r>
        <w:t>/ dynamic task forces</w:t>
      </w:r>
    </w:p>
    <w:p w14:paraId="4B470634" w14:textId="77777777" w:rsidR="0069547F" w:rsidRPr="00323542" w:rsidRDefault="0069547F" w:rsidP="0069547F">
      <w:pPr>
        <w:pStyle w:val="ListParagraph"/>
        <w:numPr>
          <w:ilvl w:val="0"/>
          <w:numId w:val="4"/>
        </w:numPr>
        <w:spacing w:after="160" w:line="259" w:lineRule="auto"/>
      </w:pPr>
      <w:r w:rsidRPr="00323542">
        <w:t xml:space="preserve">Use </w:t>
      </w:r>
      <w:r>
        <w:t>technology</w:t>
      </w:r>
      <w:r w:rsidRPr="00323542">
        <w:t xml:space="preserve"> to improve </w:t>
      </w:r>
      <w:r>
        <w:t xml:space="preserve">flexibility and collaborative effectiveness of </w:t>
      </w:r>
      <w:r w:rsidRPr="00323542">
        <w:t>service</w:t>
      </w:r>
    </w:p>
    <w:p w14:paraId="7EC5E682" w14:textId="77777777" w:rsidR="0069547F" w:rsidRDefault="0069547F" w:rsidP="0069547F">
      <w:pPr>
        <w:pStyle w:val="ListParagraph"/>
        <w:numPr>
          <w:ilvl w:val="0"/>
          <w:numId w:val="4"/>
        </w:numPr>
        <w:spacing w:after="160" w:line="259" w:lineRule="auto"/>
      </w:pPr>
      <w:r>
        <w:t>Community fundraisers and non-profit development within departments and college</w:t>
      </w:r>
    </w:p>
    <w:p w14:paraId="0928FF78" w14:textId="77777777" w:rsidR="0069547F" w:rsidRPr="00323542" w:rsidRDefault="0069547F" w:rsidP="0069547F">
      <w:pPr>
        <w:pStyle w:val="ListParagraph"/>
        <w:numPr>
          <w:ilvl w:val="0"/>
          <w:numId w:val="4"/>
        </w:numPr>
        <w:spacing w:after="160" w:line="259" w:lineRule="auto"/>
      </w:pPr>
      <w:r>
        <w:t>Faculty outreach initiatives, i.e. pro-bono work, ad hoc services, consulting</w:t>
      </w:r>
    </w:p>
    <w:p w14:paraId="04DD43FD" w14:textId="77777777" w:rsidR="0069547F" w:rsidRDefault="0069547F" w:rsidP="0069547F">
      <w:pPr>
        <w:pStyle w:val="ListParagraph"/>
        <w:numPr>
          <w:ilvl w:val="0"/>
          <w:numId w:val="4"/>
        </w:numPr>
        <w:spacing w:after="160" w:line="259" w:lineRule="auto"/>
      </w:pPr>
      <w:r>
        <w:t>Develop and participate in CBE/ TU extra-curricular outreach programs- VITA Tax Prep, Maryland Council on Economics Education, and Towson Global</w:t>
      </w:r>
    </w:p>
    <w:p w14:paraId="3785E686" w14:textId="77777777" w:rsidR="0069547F" w:rsidRPr="00323542" w:rsidRDefault="0069547F" w:rsidP="0069547F">
      <w:pPr>
        <w:pStyle w:val="ListParagraph"/>
      </w:pPr>
    </w:p>
    <w:p w14:paraId="26E98390" w14:textId="77777777" w:rsidR="0069547F" w:rsidRDefault="0069547F" w:rsidP="0069547F">
      <w:pPr>
        <w:spacing w:before="100" w:beforeAutospacing="1" w:after="100" w:afterAutospacing="1"/>
        <w:jc w:val="center"/>
        <w:rPr>
          <w:rFonts w:eastAsia="Times New Roman" w:cs="Arial"/>
          <w:b/>
          <w:color w:val="FF0000"/>
          <w:sz w:val="28"/>
          <w:szCs w:val="28"/>
        </w:rPr>
      </w:pPr>
      <w:r>
        <w:rPr>
          <w:rFonts w:eastAsia="Times New Roman" w:cs="Arial"/>
          <w:b/>
          <w:color w:val="FF0000"/>
          <w:sz w:val="28"/>
          <w:szCs w:val="28"/>
        </w:rPr>
        <w:t>Engagement</w:t>
      </w:r>
    </w:p>
    <w:p w14:paraId="6768FFD4" w14:textId="77777777" w:rsidR="0069547F" w:rsidRPr="0035740A" w:rsidRDefault="0069547F" w:rsidP="0069547F">
      <w:pPr>
        <w:spacing w:before="100" w:beforeAutospacing="1" w:after="100" w:afterAutospacing="1"/>
        <w:rPr>
          <w:rFonts w:eastAsia="Times New Roman" w:cs="Arial"/>
          <w:b/>
        </w:rPr>
      </w:pPr>
      <w:r w:rsidRPr="0035740A">
        <w:rPr>
          <w:rFonts w:eastAsia="Times New Roman" w:cs="Arial"/>
          <w:b/>
        </w:rPr>
        <w:t>Teaching</w:t>
      </w:r>
    </w:p>
    <w:p w14:paraId="422B6406" w14:textId="77777777" w:rsidR="0069547F" w:rsidRPr="0035740A" w:rsidRDefault="0069547F" w:rsidP="0069547F">
      <w:pPr>
        <w:pStyle w:val="ListParagraph"/>
        <w:numPr>
          <w:ilvl w:val="0"/>
          <w:numId w:val="5"/>
        </w:numPr>
        <w:ind w:left="540" w:hanging="180"/>
      </w:pPr>
      <w:r w:rsidRPr="0035740A">
        <w:t>Guest speakers from industry and government in classroom</w:t>
      </w:r>
    </w:p>
    <w:p w14:paraId="15A90543" w14:textId="77777777" w:rsidR="0069547F" w:rsidRPr="0035740A" w:rsidRDefault="0069547F" w:rsidP="0069547F">
      <w:pPr>
        <w:pStyle w:val="ListParagraph"/>
        <w:numPr>
          <w:ilvl w:val="0"/>
          <w:numId w:val="5"/>
        </w:numPr>
        <w:ind w:left="540" w:hanging="180"/>
      </w:pPr>
      <w:r w:rsidRPr="0035740A">
        <w:t>Live and real-world cases</w:t>
      </w:r>
    </w:p>
    <w:p w14:paraId="103B8EF8" w14:textId="77777777" w:rsidR="0069547F" w:rsidRPr="00722591" w:rsidRDefault="0069547F" w:rsidP="0069547F">
      <w:pPr>
        <w:pStyle w:val="ListParagraph"/>
        <w:numPr>
          <w:ilvl w:val="0"/>
          <w:numId w:val="5"/>
        </w:numPr>
        <w:spacing w:before="100" w:beforeAutospacing="1" w:after="100" w:afterAutospacing="1"/>
        <w:ind w:left="540" w:hanging="180"/>
        <w:rPr>
          <w:rFonts w:eastAsia="Times New Roman" w:cs="Arial"/>
          <w:b/>
        </w:rPr>
      </w:pPr>
      <w:r>
        <w:t>Participating in internal and external case competitions</w:t>
      </w:r>
    </w:p>
    <w:p w14:paraId="57E87956" w14:textId="77777777" w:rsidR="0069547F" w:rsidRPr="0035740A" w:rsidRDefault="0069547F" w:rsidP="0069547F">
      <w:pPr>
        <w:pStyle w:val="ListParagraph"/>
        <w:numPr>
          <w:ilvl w:val="0"/>
          <w:numId w:val="5"/>
        </w:numPr>
        <w:spacing w:before="100" w:beforeAutospacing="1" w:after="100" w:afterAutospacing="1"/>
        <w:ind w:left="540" w:hanging="180"/>
        <w:rPr>
          <w:rFonts w:eastAsia="Times New Roman" w:cs="Arial"/>
          <w:b/>
        </w:rPr>
      </w:pPr>
      <w:r w:rsidRPr="0035740A">
        <w:t>Industry partnerships</w:t>
      </w:r>
    </w:p>
    <w:p w14:paraId="0C83CFC2" w14:textId="77777777" w:rsidR="0069547F" w:rsidRPr="00722591" w:rsidRDefault="0069547F" w:rsidP="0069547F">
      <w:pPr>
        <w:pStyle w:val="ListParagraph"/>
        <w:numPr>
          <w:ilvl w:val="0"/>
          <w:numId w:val="5"/>
        </w:numPr>
        <w:spacing w:before="100" w:beforeAutospacing="1" w:after="100" w:afterAutospacing="1"/>
        <w:ind w:left="540" w:hanging="180"/>
        <w:rPr>
          <w:rFonts w:eastAsia="Times New Roman" w:cs="Arial"/>
          <w:b/>
        </w:rPr>
      </w:pPr>
      <w:r>
        <w:t>Industry site v</w:t>
      </w:r>
      <w:r w:rsidRPr="0035740A">
        <w:t>isits</w:t>
      </w:r>
    </w:p>
    <w:p w14:paraId="37C5EE17" w14:textId="77777777" w:rsidR="0069547F" w:rsidRPr="0035740A" w:rsidRDefault="0069547F" w:rsidP="0069547F">
      <w:pPr>
        <w:pStyle w:val="ListParagraph"/>
        <w:numPr>
          <w:ilvl w:val="0"/>
          <w:numId w:val="5"/>
        </w:numPr>
        <w:tabs>
          <w:tab w:val="left" w:pos="540"/>
        </w:tabs>
      </w:pPr>
      <w:r>
        <w:t xml:space="preserve">Supervising </w:t>
      </w:r>
      <w:r w:rsidRPr="0035740A">
        <w:t>497 Internships</w:t>
      </w:r>
    </w:p>
    <w:p w14:paraId="3F4BAD11" w14:textId="77777777" w:rsidR="0069547F" w:rsidRPr="00722591" w:rsidRDefault="0069547F" w:rsidP="0069547F">
      <w:pPr>
        <w:pStyle w:val="ListParagraph"/>
        <w:numPr>
          <w:ilvl w:val="0"/>
          <w:numId w:val="5"/>
        </w:numPr>
        <w:tabs>
          <w:tab w:val="left" w:pos="540"/>
        </w:tabs>
      </w:pPr>
      <w:r>
        <w:t xml:space="preserve">Supervising </w:t>
      </w:r>
      <w:r w:rsidRPr="0035740A">
        <w:t>797 Internships</w:t>
      </w:r>
    </w:p>
    <w:p w14:paraId="553B2E4E" w14:textId="77777777" w:rsidR="0069547F" w:rsidRDefault="0069547F" w:rsidP="0069547F">
      <w:pPr>
        <w:spacing w:before="100" w:beforeAutospacing="1" w:after="100" w:afterAutospacing="1"/>
        <w:rPr>
          <w:rFonts w:eastAsia="Times New Roman" w:cs="Arial"/>
          <w:b/>
        </w:rPr>
      </w:pPr>
      <w:r w:rsidRPr="0035740A">
        <w:rPr>
          <w:rFonts w:eastAsia="Times New Roman" w:cs="Arial"/>
          <w:b/>
        </w:rPr>
        <w:t>Scholarship</w:t>
      </w:r>
    </w:p>
    <w:p w14:paraId="5A6C4AF7" w14:textId="77777777" w:rsidR="0069547F" w:rsidRDefault="0069547F" w:rsidP="0069547F">
      <w:pPr>
        <w:tabs>
          <w:tab w:val="left" w:pos="540"/>
        </w:tabs>
        <w:spacing w:after="0"/>
        <w:ind w:left="360"/>
        <w:rPr>
          <w:rFonts w:eastAsia="Times New Roman" w:cs="Arial"/>
        </w:rPr>
      </w:pPr>
      <w:r w:rsidRPr="0035740A">
        <w:rPr>
          <w:rFonts w:eastAsia="Times New Roman" w:cs="Arial"/>
        </w:rPr>
        <w:t>•</w:t>
      </w:r>
      <w:r w:rsidRPr="0035740A">
        <w:rPr>
          <w:rFonts w:eastAsia="Times New Roman" w:cs="Arial"/>
        </w:rPr>
        <w:tab/>
        <w:t>Reviewer for journal and conference</w:t>
      </w:r>
    </w:p>
    <w:p w14:paraId="0784BD66" w14:textId="77777777" w:rsidR="0069547F" w:rsidRPr="00722591" w:rsidRDefault="0069547F" w:rsidP="0069547F">
      <w:pPr>
        <w:pStyle w:val="ListParagraph"/>
        <w:numPr>
          <w:ilvl w:val="0"/>
          <w:numId w:val="7"/>
        </w:numPr>
        <w:tabs>
          <w:tab w:val="left" w:pos="540"/>
        </w:tabs>
        <w:spacing w:after="0"/>
        <w:ind w:left="540" w:hanging="180"/>
        <w:rPr>
          <w:rFonts w:eastAsia="Times New Roman" w:cs="Arial"/>
        </w:rPr>
      </w:pPr>
      <w:r>
        <w:rPr>
          <w:rFonts w:eastAsia="Times New Roman" w:cs="Arial"/>
        </w:rPr>
        <w:t>Serving on editorial boards</w:t>
      </w:r>
    </w:p>
    <w:p w14:paraId="0A62B977" w14:textId="77777777" w:rsidR="0069547F" w:rsidRPr="0035740A" w:rsidRDefault="0069547F" w:rsidP="0069547F">
      <w:pPr>
        <w:tabs>
          <w:tab w:val="left" w:pos="540"/>
        </w:tabs>
        <w:spacing w:after="0"/>
        <w:ind w:left="360"/>
        <w:rPr>
          <w:rFonts w:eastAsia="Times New Roman" w:cs="Arial"/>
        </w:rPr>
      </w:pPr>
      <w:r w:rsidRPr="0035740A">
        <w:rPr>
          <w:rFonts w:eastAsia="Times New Roman" w:cs="Arial"/>
        </w:rPr>
        <w:t>•</w:t>
      </w:r>
      <w:r w:rsidRPr="0035740A">
        <w:rPr>
          <w:rFonts w:eastAsia="Times New Roman" w:cs="Arial"/>
        </w:rPr>
        <w:tab/>
        <w:t>External consulting in research area</w:t>
      </w:r>
    </w:p>
    <w:p w14:paraId="0871C1AE" w14:textId="77777777" w:rsidR="0069547F" w:rsidRPr="0035740A" w:rsidRDefault="0069547F" w:rsidP="0069547F">
      <w:pPr>
        <w:tabs>
          <w:tab w:val="left" w:pos="540"/>
        </w:tabs>
        <w:spacing w:after="0"/>
        <w:ind w:left="360"/>
        <w:rPr>
          <w:rFonts w:eastAsia="Times New Roman" w:cs="Arial"/>
        </w:rPr>
      </w:pPr>
      <w:r w:rsidRPr="0035740A">
        <w:rPr>
          <w:rFonts w:eastAsia="Times New Roman" w:cs="Arial"/>
        </w:rPr>
        <w:t>•</w:t>
      </w:r>
      <w:r w:rsidRPr="0035740A">
        <w:rPr>
          <w:rFonts w:eastAsia="Times New Roman" w:cs="Arial"/>
        </w:rPr>
        <w:tab/>
        <w:t>Industry participation in research</w:t>
      </w:r>
    </w:p>
    <w:p w14:paraId="0F1FF393" w14:textId="77777777" w:rsidR="0069547F" w:rsidRDefault="0069547F" w:rsidP="0069547F">
      <w:pPr>
        <w:tabs>
          <w:tab w:val="left" w:pos="540"/>
        </w:tabs>
        <w:spacing w:after="0"/>
        <w:ind w:left="360"/>
        <w:rPr>
          <w:rFonts w:eastAsia="Times New Roman" w:cs="Arial"/>
        </w:rPr>
      </w:pPr>
      <w:r w:rsidRPr="0035740A">
        <w:rPr>
          <w:rFonts w:eastAsia="Times New Roman" w:cs="Arial"/>
        </w:rPr>
        <w:t>•</w:t>
      </w:r>
      <w:r w:rsidRPr="0035740A">
        <w:rPr>
          <w:rFonts w:eastAsia="Times New Roman" w:cs="Arial"/>
        </w:rPr>
        <w:tab/>
        <w:t>Direct UG/grad research projects</w:t>
      </w:r>
    </w:p>
    <w:p w14:paraId="57D00D31" w14:textId="77777777" w:rsidR="0069547F" w:rsidRPr="00F412A5" w:rsidRDefault="0069547F" w:rsidP="0069547F">
      <w:pPr>
        <w:pStyle w:val="ListParagraph"/>
        <w:numPr>
          <w:ilvl w:val="0"/>
          <w:numId w:val="7"/>
        </w:numPr>
        <w:tabs>
          <w:tab w:val="left" w:pos="540"/>
        </w:tabs>
        <w:spacing w:after="0"/>
        <w:ind w:left="540" w:hanging="180"/>
        <w:rPr>
          <w:rFonts w:eastAsia="Times New Roman" w:cs="Arial"/>
        </w:rPr>
      </w:pPr>
      <w:r>
        <w:rPr>
          <w:rFonts w:eastAsia="Times New Roman" w:cs="Arial"/>
        </w:rPr>
        <w:t>Presentations to industry/non-profits</w:t>
      </w:r>
    </w:p>
    <w:p w14:paraId="6396F2E1" w14:textId="77777777" w:rsidR="0069547F" w:rsidRDefault="0069547F" w:rsidP="0069547F">
      <w:pPr>
        <w:spacing w:before="100" w:beforeAutospacing="1" w:after="100" w:afterAutospacing="1"/>
        <w:rPr>
          <w:rFonts w:eastAsia="Times New Roman" w:cs="Arial"/>
          <w:b/>
        </w:rPr>
      </w:pPr>
      <w:r w:rsidRPr="0035740A">
        <w:rPr>
          <w:rFonts w:eastAsia="Times New Roman" w:cs="Arial"/>
          <w:b/>
        </w:rPr>
        <w:t>Service</w:t>
      </w:r>
    </w:p>
    <w:p w14:paraId="30F09906" w14:textId="77777777" w:rsidR="0069547F" w:rsidRPr="0035740A" w:rsidRDefault="0069547F" w:rsidP="0069547F">
      <w:pPr>
        <w:pStyle w:val="ListParagraph"/>
        <w:numPr>
          <w:ilvl w:val="0"/>
          <w:numId w:val="6"/>
        </w:numPr>
        <w:tabs>
          <w:tab w:val="left" w:pos="540"/>
        </w:tabs>
        <w:ind w:left="360" w:firstLine="0"/>
      </w:pPr>
      <w:r w:rsidRPr="0035740A">
        <w:t>Faculty advisor for student groups</w:t>
      </w:r>
    </w:p>
    <w:p w14:paraId="192B5B9D" w14:textId="77777777" w:rsidR="0069547F" w:rsidRPr="0035740A" w:rsidRDefault="0069547F" w:rsidP="0069547F">
      <w:pPr>
        <w:pStyle w:val="ListParagraph"/>
        <w:numPr>
          <w:ilvl w:val="0"/>
          <w:numId w:val="6"/>
        </w:numPr>
        <w:tabs>
          <w:tab w:val="left" w:pos="540"/>
        </w:tabs>
        <w:ind w:left="360" w:firstLine="0"/>
      </w:pPr>
      <w:r w:rsidRPr="0035740A">
        <w:t>Students working projects with outside groups (NGO, Gov’t, Industry)</w:t>
      </w:r>
    </w:p>
    <w:p w14:paraId="2F66671C" w14:textId="77777777" w:rsidR="0069547F" w:rsidRPr="0035740A" w:rsidRDefault="0069547F" w:rsidP="0069547F">
      <w:pPr>
        <w:pStyle w:val="ListParagraph"/>
        <w:numPr>
          <w:ilvl w:val="0"/>
          <w:numId w:val="6"/>
        </w:numPr>
        <w:tabs>
          <w:tab w:val="left" w:pos="540"/>
        </w:tabs>
        <w:spacing w:before="100" w:beforeAutospacing="1" w:after="100" w:afterAutospacing="1"/>
        <w:ind w:left="360" w:firstLine="0"/>
        <w:rPr>
          <w:rFonts w:eastAsia="Times New Roman" w:cs="Arial"/>
        </w:rPr>
      </w:pPr>
      <w:r w:rsidRPr="0035740A">
        <w:t>Host industry events for external constituents (ex. SCM forum)</w:t>
      </w:r>
    </w:p>
    <w:p w14:paraId="068E652F" w14:textId="77777777" w:rsidR="0069547F" w:rsidRPr="00F412A5" w:rsidRDefault="0069547F" w:rsidP="0069547F">
      <w:pPr>
        <w:pStyle w:val="ListParagraph"/>
        <w:numPr>
          <w:ilvl w:val="0"/>
          <w:numId w:val="6"/>
        </w:numPr>
        <w:tabs>
          <w:tab w:val="left" w:pos="540"/>
        </w:tabs>
        <w:spacing w:before="100" w:beforeAutospacing="1" w:after="100" w:afterAutospacing="1"/>
        <w:ind w:left="360" w:firstLine="0"/>
        <w:rPr>
          <w:rFonts w:eastAsia="Times New Roman" w:cs="Arial"/>
        </w:rPr>
      </w:pPr>
      <w:r w:rsidRPr="0035740A">
        <w:t>List of CBE extra-curricular events attended where students are present</w:t>
      </w:r>
    </w:p>
    <w:p w14:paraId="1FCC5E8B" w14:textId="77777777" w:rsidR="0069547F" w:rsidRPr="0035740A" w:rsidRDefault="0069547F" w:rsidP="0069547F">
      <w:pPr>
        <w:pStyle w:val="ListParagraph"/>
        <w:numPr>
          <w:ilvl w:val="0"/>
          <w:numId w:val="6"/>
        </w:numPr>
        <w:tabs>
          <w:tab w:val="left" w:pos="540"/>
        </w:tabs>
        <w:spacing w:before="100" w:beforeAutospacing="1" w:after="100" w:afterAutospacing="1"/>
        <w:ind w:left="360" w:firstLine="0"/>
        <w:rPr>
          <w:rFonts w:eastAsia="Times New Roman" w:cs="Arial"/>
        </w:rPr>
      </w:pPr>
      <w:r>
        <w:lastRenderedPageBreak/>
        <w:t>Serving on industry/non-profit boards</w:t>
      </w:r>
    </w:p>
    <w:p w14:paraId="7E53C33F" w14:textId="77777777" w:rsidR="0069547F" w:rsidRDefault="0069547F" w:rsidP="0069547F">
      <w:pPr>
        <w:spacing w:before="100" w:beforeAutospacing="1" w:after="100" w:afterAutospacing="1"/>
        <w:rPr>
          <w:rFonts w:eastAsia="Times New Roman" w:cs="Arial"/>
          <w:b/>
          <w:color w:val="FF0000"/>
          <w:sz w:val="28"/>
          <w:szCs w:val="28"/>
        </w:rPr>
      </w:pPr>
    </w:p>
    <w:p w14:paraId="6E765666" w14:textId="77777777" w:rsidR="0069547F" w:rsidRPr="00417444" w:rsidRDefault="0069547F" w:rsidP="0069547F">
      <w:pPr>
        <w:spacing w:before="100" w:beforeAutospacing="1" w:after="100" w:afterAutospacing="1"/>
        <w:jc w:val="center"/>
        <w:rPr>
          <w:b/>
          <w:color w:val="FF0000"/>
          <w:sz w:val="28"/>
          <w:szCs w:val="28"/>
        </w:rPr>
      </w:pPr>
    </w:p>
    <w:p w14:paraId="067FC9CC" w14:textId="77777777" w:rsidR="0069547F" w:rsidRDefault="0069547F"/>
    <w:sectPr w:rsidR="0069547F" w:rsidSect="00FB3FD5">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default"/>
    <w:sig w:usb0="00000003" w:usb1="00000000" w:usb2="00000000" w:usb3="00000000" w:csb0="00000001" w:csb1="00000000"/>
  </w:font>
  <w:font w:name="Bembo">
    <w:altName w:val="Bemb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527E3"/>
    <w:multiLevelType w:val="hybridMultilevel"/>
    <w:tmpl w:val="D3AE3888"/>
    <w:lvl w:ilvl="0" w:tplc="F47E1F4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66EBB"/>
    <w:multiLevelType w:val="hybridMultilevel"/>
    <w:tmpl w:val="76D43BB2"/>
    <w:lvl w:ilvl="0" w:tplc="F47E1F4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21A5B"/>
    <w:multiLevelType w:val="hybridMultilevel"/>
    <w:tmpl w:val="8952B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468BE"/>
    <w:multiLevelType w:val="hybridMultilevel"/>
    <w:tmpl w:val="3C12E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26A5F"/>
    <w:multiLevelType w:val="hybridMultilevel"/>
    <w:tmpl w:val="0A2A6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AD74FB"/>
    <w:multiLevelType w:val="hybridMultilevel"/>
    <w:tmpl w:val="41828A14"/>
    <w:lvl w:ilvl="0" w:tplc="3B64F442">
      <w:start w:val="1"/>
      <w:numFmt w:val="decimal"/>
      <w:lvlText w:val="%1."/>
      <w:lvlJc w:val="left"/>
      <w:pPr>
        <w:ind w:left="720" w:hanging="360"/>
      </w:pPr>
      <w:rPr>
        <w:rFonts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C2655D"/>
    <w:multiLevelType w:val="multilevel"/>
    <w:tmpl w:val="B2E0B6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FB"/>
    <w:rsid w:val="002F74FB"/>
    <w:rsid w:val="0035238E"/>
    <w:rsid w:val="004916F1"/>
    <w:rsid w:val="0069547F"/>
    <w:rsid w:val="006B79FF"/>
    <w:rsid w:val="009019AF"/>
    <w:rsid w:val="00A44E35"/>
    <w:rsid w:val="00BF55A7"/>
    <w:rsid w:val="00FB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F4DF"/>
  <w15:docId w15:val="{FDDC13E2-7CBA-410E-937D-F5F7E9F6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69547F"/>
    <w:pPr>
      <w:autoSpaceDE w:val="0"/>
      <w:autoSpaceDN w:val="0"/>
      <w:adjustRightInd w:val="0"/>
      <w:spacing w:after="0" w:line="201" w:lineRule="atLeast"/>
    </w:pPr>
    <w:rPr>
      <w:rFonts w:ascii="Univers" w:hAnsi="Univers"/>
      <w:sz w:val="24"/>
      <w:szCs w:val="24"/>
    </w:rPr>
  </w:style>
  <w:style w:type="paragraph" w:customStyle="1" w:styleId="Pa1">
    <w:name w:val="Pa1"/>
    <w:basedOn w:val="Normal"/>
    <w:next w:val="Normal"/>
    <w:uiPriority w:val="99"/>
    <w:rsid w:val="0069547F"/>
    <w:pPr>
      <w:autoSpaceDE w:val="0"/>
      <w:autoSpaceDN w:val="0"/>
      <w:adjustRightInd w:val="0"/>
      <w:spacing w:after="0" w:line="191" w:lineRule="atLeast"/>
    </w:pPr>
    <w:rPr>
      <w:rFonts w:ascii="Univers" w:hAnsi="Univers"/>
      <w:sz w:val="24"/>
      <w:szCs w:val="24"/>
    </w:rPr>
  </w:style>
  <w:style w:type="paragraph" w:styleId="ListParagraph">
    <w:name w:val="List Paragraph"/>
    <w:basedOn w:val="Normal"/>
    <w:uiPriority w:val="34"/>
    <w:qFormat/>
    <w:rsid w:val="00695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gged xmlns="2a2e3485-eb59-4700-afdf-a27ff3442133">Advisors - IGNORE THIS MENU</Logg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E0C3895BF2954BA3FC6F00CA76A6AE" ma:contentTypeVersion="2" ma:contentTypeDescription="Create a new document." ma:contentTypeScope="" ma:versionID="b76f6a9bfaa3a9a152db832c3ce255a5">
  <xsd:schema xmlns:xsd="http://www.w3.org/2001/XMLSchema" xmlns:xs="http://www.w3.org/2001/XMLSchema" xmlns:p="http://schemas.microsoft.com/office/2006/metadata/properties" xmlns:ns2="2a2e3485-eb59-4700-afdf-a27ff3442133" targetNamespace="http://schemas.microsoft.com/office/2006/metadata/properties" ma:root="true" ma:fieldsID="40efc068fb21ce5120e2e73ed5be7106" ns2:_="">
    <xsd:import namespace="2a2e3485-eb59-4700-afdf-a27ff3442133"/>
    <xsd:element name="properties">
      <xsd:complexType>
        <xsd:sequence>
          <xsd:element name="documentManagement">
            <xsd:complexType>
              <xsd:all>
                <xsd:element ref="ns2:Logg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e3485-eb59-4700-afdf-a27ff3442133" elementFormDefault="qualified">
    <xsd:import namespace="http://schemas.microsoft.com/office/2006/documentManagement/types"/>
    <xsd:import namespace="http://schemas.microsoft.com/office/infopath/2007/PartnerControls"/>
    <xsd:element name="Logged" ma:index="8" nillable="true" ma:displayName="Logged" ma:default="Advisors - IGNORE THIS MENU" ma:description="Must be logged by Lisa Michocki, Annie McMahon, or Wanda Rodgers" ma:format="Dropdown" ma:internalName="Logged">
      <xsd:simpleType>
        <xsd:restriction base="dms:Choice">
          <xsd:enumeration value="Advisors - IGNORE THIS MENU"/>
          <xsd:enumeration value="Logged by Lisa Michocki"/>
          <xsd:enumeration value="Logged by Annie McMahon"/>
          <xsd:enumeration value="Logged by Wanda Rodg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C2E776-5F7E-4501-8784-0231C017F0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a2e3485-eb59-4700-afdf-a27ff3442133"/>
    <ds:schemaRef ds:uri="http://www.w3.org/XML/1998/namespace"/>
    <ds:schemaRef ds:uri="http://purl.org/dc/dcmitype/"/>
  </ds:schemaRefs>
</ds:datastoreItem>
</file>

<file path=customXml/itemProps2.xml><?xml version="1.0" encoding="utf-8"?>
<ds:datastoreItem xmlns:ds="http://schemas.openxmlformats.org/officeDocument/2006/customXml" ds:itemID="{A97D5625-A009-4007-9B3D-82DD65D386A4}">
  <ds:schemaRefs>
    <ds:schemaRef ds:uri="http://schemas.microsoft.com/sharepoint/v3/contenttype/forms"/>
  </ds:schemaRefs>
</ds:datastoreItem>
</file>

<file path=customXml/itemProps3.xml><?xml version="1.0" encoding="utf-8"?>
<ds:datastoreItem xmlns:ds="http://schemas.openxmlformats.org/officeDocument/2006/customXml" ds:itemID="{C11EFAAA-2D35-48B8-A732-8F0EDC82F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e3485-eb59-4700-afdf-a27ff3442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Braddick, Laura</cp:lastModifiedBy>
  <cp:revision>2</cp:revision>
  <dcterms:created xsi:type="dcterms:W3CDTF">2019-05-09T13:34:00Z</dcterms:created>
  <dcterms:modified xsi:type="dcterms:W3CDTF">2019-05-09T13:34:00Z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0x0101000AE0C3895BF2954BA3FC6F00CA76A6AE</vt:lpwstr>
  </property>
</Properties>
</file>